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88" w:rsidRDefault="00492388">
      <w:pPr>
        <w:widowControl/>
        <w:rPr>
          <w:color w:val="000000" w:themeColor="text1"/>
          <w:sz w:val="32"/>
          <w:shd w:val="clear" w:color="auto" w:fill="BFBFBF" w:themeFill="background1" w:themeFillShade="BF"/>
        </w:rPr>
      </w:pPr>
    </w:p>
    <w:p w:rsidR="00FF2F94" w:rsidRDefault="008A47D7">
      <w:pPr>
        <w:snapToGrid w:val="0"/>
        <w:spacing w:afterLines="50" w:after="180"/>
        <w:ind w:leftChars="200" w:left="48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hd w:val="clear" w:color="auto" w:fill="BFBFBF" w:themeFill="background1" w:themeFillShade="BF"/>
        </w:rPr>
        <w:t xml:space="preserve"> 附 件 </w:t>
      </w:r>
    </w:p>
    <w:p w:rsidR="00FF2F94" w:rsidRDefault="008A47D7">
      <w:pPr>
        <w:snapToGrid w:val="0"/>
        <w:spacing w:afterLines="50" w:after="180"/>
        <w:ind w:leftChars="200" w:left="480"/>
        <w:jc w:val="center"/>
        <w:rPr>
          <w:b/>
          <w:bCs/>
          <w:color w:val="000000" w:themeColor="text1"/>
          <w:sz w:val="32"/>
        </w:rPr>
      </w:pPr>
      <w:bookmarkStart w:id="0" w:name="_GoBack"/>
      <w:r>
        <w:rPr>
          <w:rFonts w:hint="eastAsia"/>
          <w:b/>
          <w:bCs/>
          <w:color w:val="000000" w:themeColor="text1"/>
          <w:sz w:val="32"/>
        </w:rPr>
        <w:t>防疫期間居家線上學習資源</w:t>
      </w:r>
    </w:p>
    <w:bookmarkEnd w:id="0"/>
    <w:p w:rsidR="00FF2F94" w:rsidRDefault="008A47D7">
      <w:pPr>
        <w:snapToGrid w:val="0"/>
        <w:spacing w:afterLines="50" w:after="180" w:line="360" w:lineRule="auto"/>
        <w:ind w:leftChars="200" w:left="48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資料日期:109年2月</w:t>
      </w:r>
      <w:r w:rsidR="007A53F5"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日</w:t>
      </w:r>
    </w:p>
    <w:p w:rsidR="00FF2F94" w:rsidRDefault="008A47D7" w:rsidP="00A653A5">
      <w:pPr>
        <w:snapToGrid w:val="0"/>
        <w:spacing w:afterLines="50" w:after="180" w:line="400" w:lineRule="exact"/>
        <w:ind w:firstLineChars="202" w:firstLine="566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因應</w:t>
      </w:r>
      <w:r w:rsidR="00DF166C">
        <w:rPr>
          <w:rFonts w:hint="eastAsia"/>
          <w:color w:val="000000" w:themeColor="text1"/>
          <w:sz w:val="28"/>
          <w:szCs w:val="28"/>
        </w:rPr>
        <w:t>新型冠狀病毒</w:t>
      </w:r>
      <w:r>
        <w:rPr>
          <w:rFonts w:hint="eastAsia"/>
          <w:color w:val="000000" w:themeColor="text1"/>
          <w:sz w:val="28"/>
          <w:szCs w:val="28"/>
        </w:rPr>
        <w:t>疫情之學生居家自</w:t>
      </w:r>
      <w:r w:rsidR="002B21AD">
        <w:rPr>
          <w:rFonts w:hint="eastAsia"/>
          <w:color w:val="000000" w:themeColor="text1"/>
          <w:sz w:val="28"/>
          <w:szCs w:val="28"/>
        </w:rPr>
        <w:t>主健康管理及防疫期間的學習需求，教育部彙集教育部教育雲及民間線上</w:t>
      </w:r>
      <w:r>
        <w:rPr>
          <w:rFonts w:hint="eastAsia"/>
          <w:color w:val="000000" w:themeColor="text1"/>
          <w:sz w:val="28"/>
          <w:szCs w:val="28"/>
        </w:rPr>
        <w:t>學習資源、平臺與工具，提供老師教學及</w:t>
      </w:r>
      <w:r>
        <w:rPr>
          <w:color w:val="000000" w:themeColor="text1"/>
          <w:sz w:val="28"/>
          <w:szCs w:val="28"/>
        </w:rPr>
        <w:t>學生</w:t>
      </w:r>
      <w:r>
        <w:rPr>
          <w:rFonts w:hint="eastAsia"/>
          <w:color w:val="000000" w:themeColor="text1"/>
          <w:sz w:val="28"/>
          <w:szCs w:val="28"/>
        </w:rPr>
        <w:t>自學的數位資源(詳如</w:t>
      </w:r>
      <w:r w:rsidR="008A1763">
        <w:rPr>
          <w:rFonts w:hint="eastAsia"/>
          <w:color w:val="000000" w:themeColor="text1"/>
          <w:sz w:val="28"/>
          <w:szCs w:val="28"/>
        </w:rPr>
        <w:t>線上學習資源</w:t>
      </w:r>
      <w:r>
        <w:rPr>
          <w:rFonts w:hint="eastAsia"/>
          <w:color w:val="000000" w:themeColor="text1"/>
          <w:sz w:val="28"/>
          <w:szCs w:val="28"/>
        </w:rPr>
        <w:t>彙整表)，讓孩子學習不間斷、不落後。教</w:t>
      </w:r>
      <w:r>
        <w:rPr>
          <w:color w:val="000000" w:themeColor="text1"/>
          <w:sz w:val="28"/>
          <w:szCs w:val="28"/>
        </w:rPr>
        <w:t>學與學習</w:t>
      </w:r>
      <w:r>
        <w:rPr>
          <w:rFonts w:hint="eastAsia"/>
          <w:color w:val="000000" w:themeColor="text1"/>
          <w:sz w:val="28"/>
          <w:szCs w:val="28"/>
        </w:rPr>
        <w:t>建議方式如下</w:t>
      </w:r>
      <w:r>
        <w:rPr>
          <w:color w:val="000000" w:themeColor="text1"/>
          <w:sz w:val="28"/>
          <w:szCs w:val="28"/>
        </w:rPr>
        <w:t>：</w:t>
      </w:r>
    </w:p>
    <w:p w:rsidR="00FF2F94" w:rsidRDefault="008A47D7" w:rsidP="00A653A5">
      <w:pPr>
        <w:pStyle w:val="11"/>
        <w:numPr>
          <w:ilvl w:val="0"/>
          <w:numId w:val="2"/>
        </w:numPr>
        <w:snapToGrid w:val="0"/>
        <w:spacing w:afterLines="50" w:after="180" w:line="400" w:lineRule="exact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中小學</w:t>
      </w:r>
      <w:r>
        <w:rPr>
          <w:color w:val="000000" w:themeColor="text1"/>
          <w:sz w:val="28"/>
          <w:szCs w:val="28"/>
        </w:rPr>
        <w:t>部分</w:t>
      </w:r>
    </w:p>
    <w:p w:rsidR="00FF2F94" w:rsidRDefault="009576EE" w:rsidP="00A653A5">
      <w:pPr>
        <w:pStyle w:val="11"/>
        <w:numPr>
          <w:ilvl w:val="0"/>
          <w:numId w:val="3"/>
        </w:numPr>
        <w:snapToGrid w:val="0"/>
        <w:spacing w:afterLines="50" w:after="180" w:line="400" w:lineRule="exact"/>
        <w:ind w:leftChars="0" w:left="1210" w:hanging="73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老師</w:t>
      </w:r>
      <w:r w:rsidR="008A47D7">
        <w:rPr>
          <w:rFonts w:hint="eastAsia"/>
          <w:color w:val="000000" w:themeColor="text1"/>
          <w:sz w:val="28"/>
          <w:szCs w:val="28"/>
        </w:rPr>
        <w:t>同</w:t>
      </w:r>
      <w:r w:rsidR="008A47D7">
        <w:rPr>
          <w:color w:val="000000" w:themeColor="text1"/>
          <w:sz w:val="28"/>
          <w:szCs w:val="28"/>
        </w:rPr>
        <w:t>步</w:t>
      </w:r>
      <w:r w:rsidR="008A47D7">
        <w:rPr>
          <w:rFonts w:hint="eastAsia"/>
          <w:color w:val="000000" w:themeColor="text1"/>
          <w:sz w:val="28"/>
          <w:szCs w:val="28"/>
        </w:rPr>
        <w:t>(直</w:t>
      </w:r>
      <w:r w:rsidR="008A47D7">
        <w:rPr>
          <w:color w:val="000000" w:themeColor="text1"/>
          <w:sz w:val="28"/>
          <w:szCs w:val="28"/>
        </w:rPr>
        <w:t>播)</w:t>
      </w:r>
      <w:r w:rsidR="008A47D7">
        <w:rPr>
          <w:rFonts w:hint="eastAsia"/>
          <w:color w:val="000000" w:themeColor="text1"/>
          <w:sz w:val="28"/>
          <w:szCs w:val="28"/>
        </w:rPr>
        <w:t>教學</w:t>
      </w:r>
    </w:p>
    <w:p w:rsidR="00FF2F94" w:rsidRDefault="008A47D7" w:rsidP="00A653A5">
      <w:pPr>
        <w:snapToGrid w:val="0"/>
        <w:spacing w:afterLines="50" w:after="180" w:line="400" w:lineRule="exact"/>
        <w:ind w:leftChars="295" w:left="708"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可運用視訊工具（如教育部臺灣學術網路(TANet)</w:t>
      </w:r>
      <w:r w:rsidR="00C94123">
        <w:rPr>
          <w:rFonts w:hint="eastAsia"/>
          <w:color w:val="000000" w:themeColor="text1"/>
          <w:sz w:val="28"/>
          <w:szCs w:val="28"/>
        </w:rPr>
        <w:t>網路語音交換平臺視訊會議預約系統、臺北酷課雲、高雄達學堂</w:t>
      </w:r>
      <w:r w:rsidR="006658B6" w:rsidRPr="00F83BB0">
        <w:rPr>
          <w:color w:val="000000" w:themeColor="text1"/>
          <w:sz w:val="28"/>
          <w:szCs w:val="28"/>
          <w:bdr w:val="none" w:sz="0" w:space="0" w:color="auto" w:frame="1"/>
        </w:rPr>
        <w:t>及其他可直播或視訊軟體</w:t>
      </w:r>
      <w:r>
        <w:rPr>
          <w:rFonts w:hint="eastAsia"/>
          <w:color w:val="000000" w:themeColor="text1"/>
          <w:sz w:val="28"/>
          <w:szCs w:val="28"/>
        </w:rPr>
        <w:t>等）及授課教材同步直播教學，讓居家學生可與教室內同學同步上課與學習。</w:t>
      </w:r>
    </w:p>
    <w:p w:rsidR="00FF2F94" w:rsidRDefault="009576EE" w:rsidP="00A653A5">
      <w:pPr>
        <w:pStyle w:val="11"/>
        <w:numPr>
          <w:ilvl w:val="0"/>
          <w:numId w:val="3"/>
        </w:numPr>
        <w:snapToGrid w:val="0"/>
        <w:spacing w:afterLines="50" w:after="180" w:line="400" w:lineRule="exact"/>
        <w:ind w:leftChars="0" w:left="1210" w:hanging="73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老師</w:t>
      </w:r>
      <w:r w:rsidR="008A47D7">
        <w:rPr>
          <w:rFonts w:hint="eastAsia"/>
          <w:color w:val="000000" w:themeColor="text1"/>
          <w:sz w:val="28"/>
          <w:szCs w:val="28"/>
        </w:rPr>
        <w:t>非同步教學</w:t>
      </w:r>
    </w:p>
    <w:p w:rsidR="00FF2F94" w:rsidRDefault="002B21AD" w:rsidP="00A653A5">
      <w:pPr>
        <w:snapToGrid w:val="0"/>
        <w:spacing w:afterLines="50" w:after="180" w:line="400" w:lineRule="exact"/>
        <w:ind w:leftChars="295" w:left="708"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可善加運用數位資源與工具，依課程進度及學習需求登入線上</w:t>
      </w:r>
      <w:r w:rsidR="008A47D7">
        <w:rPr>
          <w:rFonts w:hint="eastAsia"/>
          <w:color w:val="000000" w:themeColor="text1"/>
          <w:sz w:val="28"/>
          <w:szCs w:val="28"/>
        </w:rPr>
        <w:t>學習平臺備課，指派予學生適宜課程、學習內容與作業(或線上討論)。</w:t>
      </w:r>
    </w:p>
    <w:p w:rsidR="00FF2F94" w:rsidRDefault="008A47D7" w:rsidP="00A653A5">
      <w:pPr>
        <w:pStyle w:val="11"/>
        <w:numPr>
          <w:ilvl w:val="0"/>
          <w:numId w:val="3"/>
        </w:numPr>
        <w:snapToGrid w:val="0"/>
        <w:spacing w:afterLines="50" w:after="180" w:line="400" w:lineRule="exact"/>
        <w:ind w:leftChars="0" w:left="1210" w:hanging="73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家長協助學生自學</w:t>
      </w:r>
    </w:p>
    <w:p w:rsidR="00FF2F94" w:rsidRDefault="008A47D7" w:rsidP="00A653A5">
      <w:pPr>
        <w:snapToGrid w:val="0"/>
        <w:spacing w:afterLines="50" w:after="180" w:line="400" w:lineRule="exact"/>
        <w:ind w:leftChars="295" w:left="708"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家長需主動關心、</w:t>
      </w:r>
      <w:r>
        <w:rPr>
          <w:color w:val="000000" w:themeColor="text1"/>
          <w:sz w:val="28"/>
          <w:szCs w:val="28"/>
        </w:rPr>
        <w:t>引</w:t>
      </w:r>
      <w:r>
        <w:rPr>
          <w:rFonts w:hint="eastAsia"/>
          <w:color w:val="000000" w:themeColor="text1"/>
          <w:sz w:val="28"/>
          <w:szCs w:val="28"/>
        </w:rPr>
        <w:t>導</w:t>
      </w:r>
      <w:r>
        <w:rPr>
          <w:color w:val="000000" w:themeColor="text1"/>
          <w:sz w:val="28"/>
          <w:szCs w:val="28"/>
        </w:rPr>
        <w:t>及陪伴</w:t>
      </w:r>
      <w:r>
        <w:rPr>
          <w:rFonts w:hint="eastAsia"/>
          <w:color w:val="000000" w:themeColor="text1"/>
          <w:sz w:val="28"/>
          <w:szCs w:val="28"/>
        </w:rPr>
        <w:t>孩</w:t>
      </w:r>
      <w:r>
        <w:rPr>
          <w:color w:val="000000" w:themeColor="text1"/>
          <w:sz w:val="28"/>
          <w:szCs w:val="28"/>
        </w:rPr>
        <w:t>子</w:t>
      </w:r>
      <w:r>
        <w:rPr>
          <w:rFonts w:hint="eastAsia"/>
          <w:color w:val="000000" w:themeColor="text1"/>
          <w:sz w:val="28"/>
          <w:szCs w:val="28"/>
        </w:rPr>
        <w:t>一</w:t>
      </w:r>
      <w:r>
        <w:rPr>
          <w:color w:val="000000" w:themeColor="text1"/>
          <w:sz w:val="28"/>
          <w:szCs w:val="28"/>
        </w:rPr>
        <w:t>起學習</w:t>
      </w:r>
      <w:r>
        <w:rPr>
          <w:rFonts w:hint="eastAsia"/>
          <w:color w:val="000000" w:themeColor="text1"/>
          <w:sz w:val="28"/>
          <w:szCs w:val="28"/>
        </w:rPr>
        <w:t>，鼓勵並建立孩子學習信心，讓學</w:t>
      </w:r>
      <w:r>
        <w:rPr>
          <w:color w:val="000000" w:themeColor="text1"/>
          <w:sz w:val="28"/>
          <w:szCs w:val="28"/>
        </w:rPr>
        <w:t>習持續不間斷</w:t>
      </w:r>
      <w:r>
        <w:rPr>
          <w:rFonts w:hint="eastAsia"/>
          <w:color w:val="000000" w:themeColor="text1"/>
          <w:sz w:val="28"/>
          <w:szCs w:val="28"/>
        </w:rPr>
        <w:t>，並協助所需資訊設備及網路，依老師所規劃時間上課及自學相</w:t>
      </w:r>
      <w:r>
        <w:rPr>
          <w:color w:val="000000" w:themeColor="text1"/>
          <w:sz w:val="28"/>
          <w:szCs w:val="28"/>
        </w:rPr>
        <w:t>關</w:t>
      </w:r>
      <w:r>
        <w:rPr>
          <w:rFonts w:hint="eastAsia"/>
          <w:color w:val="000000" w:themeColor="text1"/>
          <w:sz w:val="28"/>
          <w:szCs w:val="28"/>
        </w:rPr>
        <w:t>課程內容，並可善加運用數位工具向老師提問，以提升學習成效，</w:t>
      </w:r>
      <w:r>
        <w:rPr>
          <w:color w:val="000000" w:themeColor="text1"/>
          <w:sz w:val="28"/>
          <w:szCs w:val="28"/>
        </w:rPr>
        <w:t>另</w:t>
      </w:r>
      <w:r>
        <w:rPr>
          <w:rFonts w:hint="eastAsia"/>
          <w:color w:val="000000" w:themeColor="text1"/>
          <w:sz w:val="28"/>
          <w:szCs w:val="28"/>
        </w:rPr>
        <w:t>請提醒孩</w:t>
      </w:r>
      <w:r>
        <w:rPr>
          <w:color w:val="000000" w:themeColor="text1"/>
          <w:sz w:val="28"/>
          <w:szCs w:val="28"/>
        </w:rPr>
        <w:t>子</w:t>
      </w:r>
      <w:r>
        <w:rPr>
          <w:rFonts w:hint="eastAsia"/>
          <w:color w:val="000000" w:themeColor="text1"/>
          <w:sz w:val="28"/>
          <w:szCs w:val="28"/>
        </w:rPr>
        <w:t>宜適</w:t>
      </w:r>
      <w:r>
        <w:rPr>
          <w:color w:val="000000" w:themeColor="text1"/>
          <w:sz w:val="28"/>
          <w:szCs w:val="28"/>
        </w:rPr>
        <w:t>度</w:t>
      </w:r>
      <w:r>
        <w:rPr>
          <w:rFonts w:hint="eastAsia"/>
          <w:color w:val="000000" w:themeColor="text1"/>
          <w:sz w:val="28"/>
          <w:szCs w:val="28"/>
        </w:rPr>
        <w:t>休</w:t>
      </w:r>
      <w:r>
        <w:rPr>
          <w:color w:val="000000" w:themeColor="text1"/>
          <w:sz w:val="28"/>
          <w:szCs w:val="28"/>
        </w:rPr>
        <w:t>息</w:t>
      </w:r>
      <w:r>
        <w:rPr>
          <w:rFonts w:hint="eastAsia"/>
          <w:color w:val="000000" w:themeColor="text1"/>
          <w:sz w:val="28"/>
          <w:szCs w:val="28"/>
        </w:rPr>
        <w:t>及運</w:t>
      </w:r>
      <w:r>
        <w:rPr>
          <w:color w:val="000000" w:themeColor="text1"/>
          <w:sz w:val="28"/>
          <w:szCs w:val="28"/>
        </w:rPr>
        <w:t>動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color w:val="000000" w:themeColor="text1"/>
          <w:sz w:val="28"/>
          <w:szCs w:val="28"/>
        </w:rPr>
        <w:t>以維持身心健康。</w:t>
      </w:r>
    </w:p>
    <w:p w:rsidR="00FF2F94" w:rsidRDefault="008A47D7" w:rsidP="00A653A5">
      <w:pPr>
        <w:pStyle w:val="11"/>
        <w:numPr>
          <w:ilvl w:val="0"/>
          <w:numId w:val="2"/>
        </w:numPr>
        <w:snapToGrid w:val="0"/>
        <w:spacing w:afterLines="50" w:after="180" w:line="400" w:lineRule="exact"/>
        <w:ind w:leftChars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大專校院部分</w:t>
      </w:r>
    </w:p>
    <w:p w:rsidR="00FF2F94" w:rsidRDefault="008A47D7" w:rsidP="00A653A5">
      <w:pPr>
        <w:snapToGrid w:val="0"/>
        <w:spacing w:afterLines="50" w:after="180" w:line="400" w:lineRule="exact"/>
        <w:ind w:leftChars="295" w:left="708" w:firstLineChars="200" w:firstLine="560"/>
        <w:rPr>
          <w:color w:val="000000" w:themeColor="text1"/>
          <w:sz w:val="28"/>
          <w:szCs w:val="28"/>
          <w:lang w:eastAsia="zh-HK"/>
        </w:rPr>
      </w:pPr>
      <w:r>
        <w:rPr>
          <w:rFonts w:hint="eastAsia"/>
          <w:color w:val="000000" w:themeColor="text1"/>
          <w:sz w:val="28"/>
          <w:szCs w:val="28"/>
        </w:rPr>
        <w:t>我國大學於</w:t>
      </w:r>
      <w:r>
        <w:rPr>
          <w:color w:val="000000" w:themeColor="text1"/>
          <w:sz w:val="28"/>
          <w:szCs w:val="28"/>
        </w:rPr>
        <w:t>95年開始，即可依據專科以上遠距教學實施辦法，在校內開設遠距教學課程並可依規核予學分，並採計為學生的畢業學分。</w:t>
      </w:r>
      <w:r>
        <w:rPr>
          <w:rFonts w:hint="eastAsia"/>
          <w:color w:val="000000" w:themeColor="text1"/>
          <w:sz w:val="28"/>
          <w:szCs w:val="28"/>
        </w:rPr>
        <w:t>另學校</w:t>
      </w:r>
      <w:r>
        <w:rPr>
          <w:color w:val="000000" w:themeColor="text1"/>
          <w:sz w:val="28"/>
          <w:szCs w:val="28"/>
        </w:rPr>
        <w:t>也可透過</w:t>
      </w:r>
      <w:r>
        <w:rPr>
          <w:rFonts w:hint="eastAsia"/>
          <w:color w:val="000000" w:themeColor="text1"/>
          <w:sz w:val="28"/>
          <w:szCs w:val="28"/>
        </w:rPr>
        <w:t>開放式線上課程平臺(如，</w:t>
      </w:r>
      <w:r>
        <w:rPr>
          <w:color w:val="000000" w:themeColor="text1"/>
          <w:sz w:val="28"/>
          <w:szCs w:val="28"/>
        </w:rPr>
        <w:t>中華開放教育平臺</w:t>
      </w:r>
      <w:r>
        <w:rPr>
          <w:rFonts w:hint="eastAsia"/>
          <w:color w:val="000000" w:themeColor="text1"/>
          <w:sz w:val="28"/>
          <w:szCs w:val="28"/>
        </w:rPr>
        <w:t>等)開課，現有課程主題含括</w:t>
      </w:r>
      <w:hyperlink r:id="rId8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自然科學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9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資訊工程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10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應用科學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11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醫學相關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12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商學管理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13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社會科學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14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史地遊憩</w:t>
        </w:r>
      </w:hyperlink>
      <w:r>
        <w:rPr>
          <w:rFonts w:cs="新細明體" w:hint="eastAsia"/>
          <w:color w:val="000000" w:themeColor="text1"/>
          <w:sz w:val="28"/>
          <w:szCs w:val="28"/>
        </w:rPr>
        <w:t>、</w:t>
      </w:r>
      <w:hyperlink r:id="rId15" w:tgtFrame="_blank" w:history="1">
        <w:r>
          <w:rPr>
            <w:rFonts w:cs="新細明體" w:hint="eastAsia"/>
            <w:color w:val="000000" w:themeColor="text1"/>
            <w:sz w:val="28"/>
            <w:szCs w:val="28"/>
          </w:rPr>
          <w:t>人文藝術</w:t>
        </w:r>
      </w:hyperlink>
      <w:r>
        <w:rPr>
          <w:rFonts w:hint="eastAsia"/>
          <w:color w:val="000000" w:themeColor="text1"/>
          <w:sz w:val="28"/>
          <w:szCs w:val="28"/>
        </w:rPr>
        <w:t>等領域，多元豐富，學生、民眾均可免費註冊、選讀</w:t>
      </w:r>
      <w:r>
        <w:rPr>
          <w:rFonts w:hint="eastAsia"/>
          <w:color w:val="000000" w:themeColor="text1"/>
          <w:sz w:val="28"/>
          <w:szCs w:val="28"/>
          <w:lang w:eastAsia="zh-HK"/>
        </w:rPr>
        <w:t>。</w:t>
      </w:r>
    </w:p>
    <w:p w:rsidR="00FF2F94" w:rsidRDefault="008A47D7">
      <w:pPr>
        <w:snapToGrid w:val="0"/>
        <w:spacing w:afterLines="50" w:after="180"/>
        <w:ind w:leftChars="295" w:left="708" w:firstLineChars="200" w:firstLine="560"/>
        <w:rPr>
          <w:color w:val="000000" w:themeColor="text1"/>
          <w:sz w:val="28"/>
          <w:szCs w:val="28"/>
          <w:lang w:eastAsia="zh-HK"/>
        </w:rPr>
      </w:pPr>
      <w:r>
        <w:rPr>
          <w:rFonts w:hint="eastAsia"/>
          <w:color w:val="000000" w:themeColor="text1"/>
          <w:sz w:val="28"/>
          <w:szCs w:val="28"/>
          <w:lang w:eastAsia="zh-HK"/>
        </w:rPr>
        <w:lastRenderedPageBreak/>
        <w:br w:type="page"/>
      </w:r>
    </w:p>
    <w:p w:rsidR="00FF2F94" w:rsidRPr="00FB13B5" w:rsidRDefault="008A47D7">
      <w:pPr>
        <w:snapToGrid w:val="0"/>
        <w:spacing w:afterLines="50" w:after="180" w:line="360" w:lineRule="auto"/>
        <w:jc w:val="center"/>
        <w:rPr>
          <w:sz w:val="32"/>
          <w:szCs w:val="28"/>
        </w:rPr>
      </w:pPr>
      <w:r w:rsidRPr="00FB13B5">
        <w:rPr>
          <w:rFonts w:hint="eastAsia"/>
          <w:b/>
          <w:bCs/>
          <w:sz w:val="32"/>
          <w:szCs w:val="28"/>
        </w:rPr>
        <w:lastRenderedPageBreak/>
        <w:t>線上學習資源彙整表</w:t>
      </w:r>
    </w:p>
    <w:tbl>
      <w:tblPr>
        <w:tblStyle w:val="2-3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F2F94" w:rsidTr="00BC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tcBorders>
              <w:top w:val="none" w:sz="0" w:space="0" w:color="auto"/>
              <w:bottom w:val="none" w:sz="0" w:space="0" w:color="auto"/>
            </w:tcBorders>
            <w:shd w:val="clear" w:color="auto" w:fill="A8D08D" w:themeFill="accent6" w:themeFillTint="99"/>
          </w:tcPr>
          <w:p w:rsidR="00FF2F94" w:rsidRPr="00ED77C0" w:rsidRDefault="008A47D7">
            <w:pPr>
              <w:widowControl/>
              <w:jc w:val="center"/>
              <w:rPr>
                <w:color w:val="FFFFFF" w:themeColor="background1"/>
                <w:sz w:val="28"/>
                <w:szCs w:val="28"/>
              </w:rPr>
            </w:pPr>
            <w:r w:rsidRPr="00ED77C0">
              <w:rPr>
                <w:rFonts w:hint="eastAsia"/>
                <w:sz w:val="28"/>
                <w:szCs w:val="28"/>
              </w:rPr>
              <w:t>同</w:t>
            </w:r>
            <w:r w:rsidRPr="00ED77C0">
              <w:rPr>
                <w:sz w:val="28"/>
                <w:szCs w:val="28"/>
              </w:rPr>
              <w:t>步</w:t>
            </w:r>
            <w:r w:rsidRPr="00ED77C0">
              <w:rPr>
                <w:rFonts w:hint="eastAsia"/>
                <w:sz w:val="28"/>
                <w:szCs w:val="28"/>
              </w:rPr>
              <w:t>(直</w:t>
            </w:r>
            <w:r w:rsidRPr="00ED77C0">
              <w:rPr>
                <w:sz w:val="28"/>
                <w:szCs w:val="28"/>
              </w:rPr>
              <w:t>播)</w:t>
            </w:r>
            <w:r w:rsidRPr="00ED77C0">
              <w:rPr>
                <w:rFonts w:hint="eastAsia"/>
                <w:sz w:val="28"/>
                <w:szCs w:val="28"/>
              </w:rPr>
              <w:t>教學工具</w:t>
            </w:r>
          </w:p>
        </w:tc>
      </w:tr>
      <w:tr w:rsidR="00FF2F94" w:rsidTr="00ED77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shd w:val="clear" w:color="auto" w:fill="auto"/>
          </w:tcPr>
          <w:p w:rsidR="00FF2F94" w:rsidRDefault="00261964">
            <w:pPr>
              <w:pStyle w:val="Web"/>
              <w:spacing w:beforeAutospacing="0" w:afterAutospacing="0"/>
              <w:ind w:firstLineChars="100" w:firstLine="201"/>
              <w:rPr>
                <w:color w:val="FFFFFF" w:themeColor="background1"/>
                <w:sz w:val="28"/>
                <w:szCs w:val="28"/>
              </w:rPr>
            </w:pPr>
            <w:hyperlink r:id="rId16" w:history="1">
              <w:r w:rsidR="008A47D7">
                <w:rPr>
                  <w:rStyle w:val="a7"/>
                  <w:rFonts w:ascii="標楷體" w:eastAsia="標楷體" w:hAnsi="標楷體" w:cs="標楷體" w:hint="eastAsia"/>
                  <w:sz w:val="24"/>
                  <w:szCs w:val="24"/>
                  <w:lang w:eastAsia="zh-TW"/>
                </w:rPr>
                <w:t>教育部臺灣學術網路(TANet)網路語音交換平臺視訊會議預約系統</w:t>
              </w:r>
            </w:hyperlink>
          </w:p>
        </w:tc>
      </w:tr>
      <w:tr w:rsidR="00FF2F94" w:rsidTr="00ED77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shd w:val="clear" w:color="auto" w:fill="auto"/>
          </w:tcPr>
          <w:p w:rsidR="00FF2F94" w:rsidRDefault="00261964">
            <w:pPr>
              <w:pStyle w:val="Web"/>
              <w:spacing w:beforeAutospacing="0" w:afterAutospacing="0"/>
              <w:ind w:firstLineChars="100" w:firstLine="201"/>
              <w:rPr>
                <w:rFonts w:ascii="標楷體" w:eastAsia="標楷體" w:hAnsi="標楷體" w:cs="標楷體"/>
                <w:sz w:val="24"/>
                <w:szCs w:val="24"/>
              </w:rPr>
            </w:pPr>
            <w:hyperlink r:id="rId17" w:history="1">
              <w:r w:rsidR="008A47D7">
                <w:rPr>
                  <w:rStyle w:val="a7"/>
                  <w:rFonts w:ascii="標楷體" w:eastAsia="標楷體" w:hAnsi="標楷體" w:cs="標楷體" w:hint="eastAsia"/>
                  <w:sz w:val="24"/>
                  <w:szCs w:val="24"/>
                </w:rPr>
                <w:t>臺北酷課雲</w:t>
              </w:r>
              <w:r w:rsidR="008A47D7">
                <w:rPr>
                  <w:rStyle w:val="a7"/>
                  <w:rFonts w:ascii="標楷體" w:eastAsia="標楷體" w:hAnsi="標楷體" w:cs="標楷體" w:hint="eastAsia"/>
                  <w:sz w:val="24"/>
                  <w:szCs w:val="24"/>
                  <w:lang w:eastAsia="zh-TW"/>
                </w:rPr>
                <w:t>-酷課OnO學習管理平臺</w:t>
              </w:r>
            </w:hyperlink>
          </w:p>
        </w:tc>
      </w:tr>
      <w:tr w:rsidR="00FF2F94" w:rsidTr="00ED77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shd w:val="clear" w:color="auto" w:fill="auto"/>
          </w:tcPr>
          <w:p w:rsidR="00FF2F94" w:rsidRDefault="00261964">
            <w:pPr>
              <w:widowControl/>
              <w:ind w:firstLineChars="100" w:firstLine="240"/>
              <w:rPr>
                <w:rFonts w:cs="標楷體"/>
              </w:rPr>
            </w:pPr>
            <w:hyperlink r:id="rId18" w:history="1">
              <w:r w:rsidR="008A47D7">
                <w:rPr>
                  <w:rStyle w:val="a7"/>
                  <w:rFonts w:cs="標楷體" w:hint="eastAsia"/>
                </w:rPr>
                <w:t>高雄市達學堂</w:t>
              </w:r>
            </w:hyperlink>
          </w:p>
        </w:tc>
      </w:tr>
    </w:tbl>
    <w:p w:rsidR="00FF2F94" w:rsidRDefault="00FF2F94">
      <w:pPr>
        <w:snapToGrid w:val="0"/>
        <w:spacing w:afterLines="50" w:after="180"/>
        <w:ind w:firstLineChars="202" w:firstLine="566"/>
        <w:rPr>
          <w:sz w:val="28"/>
          <w:szCs w:val="28"/>
        </w:rPr>
      </w:pPr>
    </w:p>
    <w:tbl>
      <w:tblPr>
        <w:tblStyle w:val="2-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</w:tblGrid>
      <w:tr w:rsidR="00FF2F94" w:rsidTr="00BC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C5E0B3" w:themeFill="accent6" w:themeFillTint="66"/>
          </w:tcPr>
          <w:p w:rsidR="00FF2F94" w:rsidRPr="005D5D2F" w:rsidRDefault="008A47D7">
            <w:pPr>
              <w:pStyle w:val="11"/>
              <w:widowControl/>
              <w:spacing w:line="120" w:lineRule="atLeast"/>
              <w:ind w:leftChars="0" w:left="0"/>
              <w:jc w:val="center"/>
              <w:rPr>
                <w:rFonts w:cs="新細明體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D5D2F">
              <w:rPr>
                <w:rFonts w:cs="新細明體" w:hint="eastAsia"/>
                <w:color w:val="000000" w:themeColor="text1"/>
                <w:sz w:val="28"/>
                <w:szCs w:val="28"/>
              </w:rPr>
              <w:t>中小學</w:t>
            </w:r>
            <w:r w:rsidR="00A97505" w:rsidRPr="005D5D2F">
              <w:rPr>
                <w:rFonts w:hint="eastAsia"/>
                <w:color w:val="000000" w:themeColor="text1"/>
                <w:sz w:val="28"/>
                <w:szCs w:val="28"/>
              </w:rPr>
              <w:t>非同步教學平臺及資源</w:t>
            </w:r>
          </w:p>
          <w:p w:rsidR="00FF2F94" w:rsidRDefault="008A47D7">
            <w:pPr>
              <w:pStyle w:val="11"/>
              <w:widowControl/>
              <w:ind w:leftChars="0" w:left="278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 xml:space="preserve"> </w:t>
            </w:r>
            <w:r>
              <w:rPr>
                <w:rFonts w:hint="eastAsia"/>
              </w:rPr>
              <w:t>建議師生透過教育體系單一帳號(教育雲端帳號)登入，可便利一次登入使用各網站</w:t>
            </w:r>
            <w:hyperlink r:id="rId19" w:history="1">
              <w:r>
                <w:rPr>
                  <w:rStyle w:val="a7"/>
                  <w:rFonts w:ascii="SimSun" w:eastAsia="SimSun" w:hAnsi="SimSun" w:cs="SimSun"/>
                </w:rPr>
                <w:t>https://cloud.edu.tw/</w:t>
              </w:r>
            </w:hyperlink>
          </w:p>
        </w:tc>
      </w:tr>
      <w:tr w:rsidR="001D0299" w:rsidTr="00ED77C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538135" w:themeFill="accent6" w:themeFillShade="BF"/>
          </w:tcPr>
          <w:p w:rsidR="001D0299" w:rsidRDefault="001D0299" w:rsidP="00D34AC7">
            <w:pPr>
              <w:widowControl/>
              <w:jc w:val="center"/>
              <w:rPr>
                <w:rFonts w:cs="新細明體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網站、網址</w:t>
            </w:r>
          </w:p>
        </w:tc>
        <w:tc>
          <w:tcPr>
            <w:tcW w:w="7088" w:type="dxa"/>
            <w:shd w:val="clear" w:color="auto" w:fill="538135" w:themeFill="accent6" w:themeFillShade="BF"/>
          </w:tcPr>
          <w:p w:rsidR="001D0299" w:rsidRDefault="001D0299" w:rsidP="00D34A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內容</w:t>
            </w:r>
          </w:p>
        </w:tc>
      </w:tr>
      <w:tr w:rsidR="00FF2F94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FF2F94" w:rsidRDefault="00261964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hyperlink r:id="rId20" w:history="1">
              <w:r w:rsidR="008A47D7" w:rsidRPr="00A653A5">
                <w:rPr>
                  <w:rFonts w:hint="eastAsia"/>
                </w:rPr>
                <w:t>教育部</w:t>
              </w:r>
              <w:r w:rsidR="008A47D7">
                <w:rPr>
                  <w:rStyle w:val="a7"/>
                  <w:rFonts w:cs="新細明體" w:hint="eastAsia"/>
                </w:rPr>
                <w:t>因材網</w:t>
              </w:r>
            </w:hyperlink>
            <w:r w:rsidR="008A47D7">
              <w:rPr>
                <w:rFonts w:cs="新細明體" w:hint="eastAsia"/>
              </w:rPr>
              <w:t xml:space="preserve"> </w:t>
            </w:r>
          </w:p>
          <w:p w:rsidR="00FF2F94" w:rsidRDefault="00261964">
            <w:pPr>
              <w:widowControl/>
              <w:ind w:left="240" w:hangingChars="100" w:hanging="240"/>
              <w:rPr>
                <w:rFonts w:cs="Times New Roman"/>
                <w:b w:val="0"/>
                <w:bCs w:val="0"/>
              </w:rPr>
            </w:pPr>
            <w:hyperlink r:id="rId21" w:history="1"/>
          </w:p>
          <w:p w:rsidR="00FF2F94" w:rsidRDefault="00FF2F94">
            <w:pPr>
              <w:widowControl/>
              <w:ind w:left="240" w:hangingChars="100" w:hanging="240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7088" w:type="dxa"/>
            <w:shd w:val="clear" w:color="auto" w:fill="auto"/>
          </w:tcPr>
          <w:p w:rsidR="00FF2F94" w:rsidRDefault="008A47D7">
            <w:pPr>
              <w:pStyle w:val="11"/>
              <w:widowControl/>
              <w:numPr>
                <w:ilvl w:val="0"/>
                <w:numId w:val="4"/>
              </w:numPr>
              <w:ind w:leftChars="0" w:left="278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</w:rPr>
            </w:pPr>
            <w:r>
              <w:rPr>
                <w:rFonts w:cs="新細明體" w:hint="eastAsia"/>
              </w:rPr>
              <w:t>學習科目及年級</w:t>
            </w:r>
          </w:p>
          <w:p w:rsidR="00FF2F94" w:rsidRDefault="008A47D7">
            <w:pPr>
              <w:pStyle w:val="11"/>
              <w:widowControl/>
              <w:ind w:leftChars="0"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</w:rPr>
            </w:pPr>
            <w:r>
              <w:rPr>
                <w:rFonts w:cs="新細明體" w:hint="eastAsia"/>
              </w:rPr>
              <w:t>國語文(1</w:t>
            </w:r>
            <w:r>
              <w:rPr>
                <w:rFonts w:cs="新細明體"/>
              </w:rPr>
              <w:t>至</w:t>
            </w:r>
            <w:r>
              <w:rPr>
                <w:rFonts w:cs="新細明體" w:hint="eastAsia"/>
              </w:rPr>
              <w:t>9</w:t>
            </w:r>
            <w:r>
              <w:rPr>
                <w:rFonts w:cs="新細明體"/>
              </w:rPr>
              <w:t>年級、108課綱</w:t>
            </w:r>
            <w:r>
              <w:rPr>
                <w:rFonts w:cs="新細明體" w:hint="eastAsia"/>
              </w:rPr>
              <w:t>1</w:t>
            </w:r>
            <w:r>
              <w:rPr>
                <w:rFonts w:cs="新細明體"/>
              </w:rPr>
              <w:t>年級與</w:t>
            </w:r>
            <w:r>
              <w:rPr>
                <w:rFonts w:cs="新細明體" w:hint="eastAsia"/>
              </w:rPr>
              <w:t>7</w:t>
            </w:r>
            <w:r>
              <w:rPr>
                <w:rFonts w:cs="新細明體"/>
              </w:rPr>
              <w:t>年級)</w:t>
            </w:r>
          </w:p>
          <w:p w:rsidR="00FF2F94" w:rsidRDefault="008A47D7">
            <w:pPr>
              <w:pStyle w:val="11"/>
              <w:widowControl/>
              <w:ind w:leftChars="0"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</w:rPr>
            </w:pPr>
            <w:r>
              <w:rPr>
                <w:rFonts w:cs="新細明體"/>
              </w:rPr>
              <w:t>數學(</w:t>
            </w:r>
            <w:r>
              <w:rPr>
                <w:rFonts w:cs="新細明體" w:hint="eastAsia"/>
              </w:rPr>
              <w:t>1</w:t>
            </w:r>
            <w:r>
              <w:rPr>
                <w:rFonts w:cs="新細明體"/>
              </w:rPr>
              <w:t>至</w:t>
            </w:r>
            <w:r>
              <w:rPr>
                <w:rFonts w:cs="新細明體" w:hint="eastAsia"/>
              </w:rPr>
              <w:t>9</w:t>
            </w:r>
            <w:r>
              <w:rPr>
                <w:rFonts w:cs="新細明體"/>
              </w:rPr>
              <w:t>年級、108課綱</w:t>
            </w:r>
            <w:r>
              <w:rPr>
                <w:rFonts w:cs="新細明體" w:hint="eastAsia"/>
              </w:rPr>
              <w:t>1</w:t>
            </w:r>
            <w:r>
              <w:rPr>
                <w:rFonts w:cs="新細明體"/>
              </w:rPr>
              <w:t>年級與</w:t>
            </w:r>
            <w:r>
              <w:rPr>
                <w:rFonts w:cs="新細明體" w:hint="eastAsia"/>
              </w:rPr>
              <w:t>7</w:t>
            </w:r>
            <w:r>
              <w:rPr>
                <w:rFonts w:cs="新細明體"/>
              </w:rPr>
              <w:t>年級)</w:t>
            </w:r>
          </w:p>
          <w:p w:rsidR="00FF2F94" w:rsidRDefault="008A47D7">
            <w:pPr>
              <w:pStyle w:val="11"/>
              <w:widowControl/>
              <w:ind w:leftChars="0"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</w:rPr>
            </w:pPr>
            <w:r>
              <w:rPr>
                <w:rFonts w:cs="新細明體"/>
              </w:rPr>
              <w:t>自然(</w:t>
            </w:r>
            <w:r>
              <w:rPr>
                <w:rFonts w:cs="新細明體" w:hint="eastAsia"/>
              </w:rPr>
              <w:t>3</w:t>
            </w:r>
            <w:r>
              <w:rPr>
                <w:rFonts w:cs="新細明體"/>
              </w:rPr>
              <w:t>至</w:t>
            </w:r>
            <w:r>
              <w:rPr>
                <w:rFonts w:cs="新細明體" w:hint="eastAsia"/>
              </w:rPr>
              <w:t>6</w:t>
            </w:r>
            <w:r>
              <w:rPr>
                <w:rFonts w:cs="新細明體"/>
              </w:rPr>
              <w:t>年級、理化、108課綱-生物)</w:t>
            </w:r>
          </w:p>
          <w:p w:rsidR="00FF2F94" w:rsidRDefault="008A47D7">
            <w:pPr>
              <w:pStyle w:val="11"/>
              <w:widowControl/>
              <w:ind w:leftChars="0" w:lef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新細明體"/>
              </w:rPr>
              <w:t>英語文(108課綱-</w:t>
            </w:r>
            <w:r>
              <w:rPr>
                <w:rFonts w:cs="新細明體" w:hint="eastAsia"/>
              </w:rPr>
              <w:t>3</w:t>
            </w:r>
            <w:r>
              <w:rPr>
                <w:rFonts w:cs="新細明體"/>
              </w:rPr>
              <w:t>至</w:t>
            </w:r>
            <w:r>
              <w:rPr>
                <w:rFonts w:cs="新細明體" w:hint="eastAsia"/>
              </w:rPr>
              <w:t>6</w:t>
            </w:r>
            <w:r>
              <w:rPr>
                <w:rFonts w:cs="新細明體"/>
              </w:rPr>
              <w:t>年級)</w:t>
            </w:r>
          </w:p>
        </w:tc>
      </w:tr>
      <w:tr w:rsidR="00FF2F94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2F2F2" w:themeFill="background1" w:themeFillShade="F2"/>
          </w:tcPr>
          <w:p w:rsidR="00FF2F94" w:rsidRDefault="008A47D7">
            <w:pPr>
              <w:widowControl/>
              <w:rPr>
                <w:rFonts w:cs="Times New Roman"/>
                <w:b w:val="0"/>
                <w:bCs w:val="0"/>
              </w:rPr>
            </w:pPr>
            <w:r>
              <w:rPr>
                <w:rFonts w:cs="新細明體" w:hint="eastAsia"/>
              </w:rPr>
              <w:t>教育部</w:t>
            </w:r>
            <w:hyperlink r:id="rId22" w:history="1">
              <w:r>
                <w:rPr>
                  <w:rStyle w:val="a7"/>
                  <w:rFonts w:cs="新細明體" w:hint="eastAsia"/>
                </w:rPr>
                <w:t>學習拍</w:t>
              </w:r>
            </w:hyperlink>
            <w:r>
              <w:rPr>
                <w:rFonts w:cs="新細明體" w:hint="eastAsia"/>
              </w:rPr>
              <w:t xml:space="preserve"> </w:t>
            </w:r>
            <w:hyperlink r:id="rId23" w:history="1"/>
          </w:p>
          <w:p w:rsidR="00FF2F94" w:rsidRDefault="00FF2F94">
            <w:pPr>
              <w:widowControl/>
              <w:rPr>
                <w:rFonts w:cs="Times New Roman"/>
                <w:b w:val="0"/>
                <w:bCs w:val="0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:rsidR="00FF2F94" w:rsidRDefault="008A47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新細明體" w:hint="eastAsia"/>
              </w:rPr>
              <w:t>提供</w:t>
            </w:r>
            <w:r w:rsidR="009576EE">
              <w:rPr>
                <w:rFonts w:cs="新細明體" w:hint="eastAsia"/>
              </w:rPr>
              <w:t>老師</w:t>
            </w:r>
            <w:r>
              <w:rPr>
                <w:rFonts w:cs="新細明體" w:hint="eastAsia"/>
              </w:rPr>
              <w:t>備課後遠端進行教學和指派學生學習內容、測驗與作業等學習活動。數位內容可連結引用教育部</w:t>
            </w:r>
            <w:r>
              <w:rPr>
                <w:rFonts w:hint="eastAsia"/>
                <w:snapToGrid w:val="0"/>
              </w:rPr>
              <w:t>教育雲「教育大市集」、「教育媒體影音」、「教育百科」資源。</w:t>
            </w:r>
          </w:p>
        </w:tc>
      </w:tr>
      <w:tr w:rsidR="00FF2F94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FF2F94" w:rsidRDefault="008A47D7">
            <w:pPr>
              <w:widowControl/>
              <w:ind w:left="240" w:hangingChars="100" w:hanging="240"/>
              <w:rPr>
                <w:rFonts w:cs="Times New Roman"/>
                <w:b w:val="0"/>
                <w:bCs w:val="0"/>
              </w:rPr>
            </w:pPr>
            <w:r>
              <w:rPr>
                <w:rFonts w:cs="新細明體" w:hint="eastAsia"/>
              </w:rPr>
              <w:t>教育部</w:t>
            </w:r>
            <w:hyperlink r:id="rId24" w:history="1">
              <w:r>
                <w:rPr>
                  <w:rStyle w:val="a7"/>
                  <w:rFonts w:hint="eastAsia"/>
                </w:rPr>
                <w:t>教育媒體影音</w:t>
              </w:r>
            </w:hyperlink>
          </w:p>
        </w:tc>
        <w:tc>
          <w:tcPr>
            <w:tcW w:w="7088" w:type="dxa"/>
            <w:shd w:val="clear" w:color="auto" w:fill="auto"/>
          </w:tcPr>
          <w:p w:rsidR="00FF2F94" w:rsidRDefault="008A47D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新細明體" w:hint="eastAsia"/>
                <w:lang w:eastAsia="zh-HK"/>
              </w:rPr>
              <w:t>匯</w:t>
            </w:r>
            <w:r>
              <w:rPr>
                <w:rFonts w:cs="新細明體" w:hint="eastAsia"/>
                <w:color w:val="000000" w:themeColor="text1"/>
                <w:lang w:eastAsia="zh-HK"/>
              </w:rPr>
              <w:t>集</w:t>
            </w:r>
            <w:r>
              <w:rPr>
                <w:rFonts w:cs="新細明體" w:hint="eastAsia"/>
                <w:color w:val="000000" w:themeColor="text1"/>
              </w:rPr>
              <w:t>各領域學科資源</w:t>
            </w:r>
            <w:r>
              <w:rPr>
                <w:color w:val="000000" w:themeColor="text1"/>
              </w:rPr>
              <w:t>1萬692筆教學影音，提供關鍵字及學科分類檢索查詢</w:t>
            </w:r>
            <w:r>
              <w:rPr>
                <w:rFonts w:hint="eastAsia"/>
              </w:rPr>
              <w:t>。</w:t>
            </w:r>
          </w:p>
        </w:tc>
      </w:tr>
      <w:tr w:rsidR="00FF2F94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2F2F2" w:themeFill="background1" w:themeFillShade="F2"/>
          </w:tcPr>
          <w:p w:rsidR="00FF2F94" w:rsidRDefault="008A47D7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r>
              <w:rPr>
                <w:rFonts w:cs="新細明體" w:hint="eastAsia"/>
              </w:rPr>
              <w:t>教育部</w:t>
            </w:r>
            <w:hyperlink r:id="rId25" w:history="1">
              <w:r>
                <w:rPr>
                  <w:rStyle w:val="a7"/>
                  <w:rFonts w:cs="新細明體" w:hint="eastAsia"/>
                </w:rPr>
                <w:t>教育大市集</w:t>
              </w:r>
            </w:hyperlink>
          </w:p>
        </w:tc>
        <w:tc>
          <w:tcPr>
            <w:tcW w:w="7088" w:type="dxa"/>
            <w:shd w:val="clear" w:color="auto" w:fill="F2F2F2" w:themeFill="background1" w:themeFillShade="F2"/>
          </w:tcPr>
          <w:p w:rsidR="00FF2F94" w:rsidRDefault="008A47D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新細明體" w:hint="eastAsia"/>
                <w:color w:val="000000" w:themeColor="text1"/>
                <w:lang w:eastAsia="zh-HK"/>
              </w:rPr>
              <w:t>匯集</w:t>
            </w:r>
            <w:r>
              <w:rPr>
                <w:rFonts w:cs="新細明體" w:hint="eastAsia"/>
                <w:color w:val="000000" w:themeColor="text1"/>
              </w:rPr>
              <w:t>各領域學科資源，</w:t>
            </w:r>
            <w:r>
              <w:rPr>
                <w:color w:val="000000" w:themeColor="text1"/>
              </w:rPr>
              <w:t>含web 資源(教案、素材等) 16萬5,576筆、電子書4,094筆、教育APP 913筆，提供關鍵字及學科分類檢索查詢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FF2F94" w:rsidTr="001A731E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FF2F94" w:rsidRDefault="008A47D7">
            <w:pPr>
              <w:widowControl/>
              <w:ind w:left="240" w:hangingChars="100" w:hanging="240"/>
              <w:rPr>
                <w:b w:val="0"/>
                <w:bCs w:val="0"/>
              </w:rPr>
            </w:pPr>
            <w:r>
              <w:rPr>
                <w:rFonts w:cs="新細明體" w:hint="eastAsia"/>
              </w:rPr>
              <w:t>教育部</w:t>
            </w:r>
            <w:hyperlink r:id="rId26" w:history="1">
              <w:r>
                <w:rPr>
                  <w:rStyle w:val="a7"/>
                  <w:rFonts w:hint="eastAsia"/>
                </w:rPr>
                <w:t>教育百科</w:t>
              </w:r>
            </w:hyperlink>
            <w:r>
              <w:rPr>
                <w:rFonts w:hint="eastAsia"/>
              </w:rPr>
              <w:t xml:space="preserve">  </w:t>
            </w:r>
          </w:p>
          <w:p w:rsidR="00FF2F94" w:rsidRDefault="00FF2F94">
            <w:pPr>
              <w:widowControl/>
              <w:ind w:left="240" w:hangingChars="100" w:hanging="240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7088" w:type="dxa"/>
            <w:shd w:val="clear" w:color="auto" w:fill="auto"/>
          </w:tcPr>
          <w:p w:rsidR="00FF2F94" w:rsidRDefault="008A47D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收錄</w:t>
            </w:r>
            <w:r>
              <w:rPr>
                <w:color w:val="000000" w:themeColor="text1"/>
              </w:rPr>
              <w:t>國語</w:t>
            </w:r>
            <w:r>
              <w:rPr>
                <w:rFonts w:hint="eastAsia"/>
                <w:color w:val="000000" w:themeColor="text1"/>
              </w:rPr>
              <w:t>文</w:t>
            </w:r>
            <w:r>
              <w:rPr>
                <w:color w:val="000000" w:themeColor="text1"/>
              </w:rPr>
              <w:t>、閩南語、客家語</w:t>
            </w:r>
            <w:r>
              <w:rPr>
                <w:rFonts w:hint="eastAsia"/>
                <w:color w:val="000000" w:themeColor="text1"/>
              </w:rPr>
              <w:t>、辭書等</w:t>
            </w:r>
            <w:r>
              <w:rPr>
                <w:color w:val="000000" w:themeColor="text1"/>
              </w:rPr>
              <w:t>常用電子辭典約35萬餘筆</w:t>
            </w:r>
            <w:r>
              <w:rPr>
                <w:rFonts w:hint="eastAsia"/>
                <w:color w:val="000000" w:themeColor="text1"/>
              </w:rPr>
              <w:t>詞語解釋，提供</w:t>
            </w:r>
            <w:r>
              <w:rPr>
                <w:color w:val="000000" w:themeColor="text1"/>
              </w:rPr>
              <w:t>關鍵字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全文</w:t>
            </w:r>
            <w:r>
              <w:rPr>
                <w:rFonts w:hint="eastAsia"/>
                <w:color w:val="000000" w:themeColor="text1"/>
              </w:rPr>
              <w:t>及音讀檢索查詢。</w:t>
            </w:r>
          </w:p>
        </w:tc>
      </w:tr>
      <w:tr w:rsidR="00FF2F94" w:rsidTr="00ED77C0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2F2F2" w:themeFill="background1" w:themeFillShade="F2"/>
          </w:tcPr>
          <w:p w:rsidR="00FF2F94" w:rsidRDefault="00AE6D76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r>
              <w:rPr>
                <w:rFonts w:cs="新細明體" w:hint="eastAsia"/>
              </w:rPr>
              <w:t>臺</w:t>
            </w:r>
            <w:r w:rsidR="008A47D7">
              <w:rPr>
                <w:rFonts w:cs="新細明體" w:hint="eastAsia"/>
              </w:rPr>
              <w:t>北市</w:t>
            </w:r>
            <w:hyperlink r:id="rId27" w:history="1">
              <w:r w:rsidR="008A47D7">
                <w:rPr>
                  <w:rStyle w:val="a7"/>
                  <w:rFonts w:cs="新細明體" w:hint="eastAsia"/>
                </w:rPr>
                <w:t>酷課雲</w:t>
              </w:r>
            </w:hyperlink>
          </w:p>
          <w:p w:rsidR="00FF2F94" w:rsidRDefault="00FF2F94" w:rsidP="00ED77C0">
            <w:pPr>
              <w:widowControl/>
              <w:rPr>
                <w:rFonts w:cs="新細明體"/>
                <w:b w:val="0"/>
                <w:bCs w:val="0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:rsidR="00FF2F94" w:rsidRDefault="008A47D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 w:hint="eastAsia"/>
              </w:rPr>
              <w:t>包括國小、國中、高中及高職階段</w:t>
            </w:r>
            <w:r>
              <w:rPr>
                <w:rFonts w:hint="eastAsia"/>
                <w:color w:val="000000" w:themeColor="text1"/>
              </w:rPr>
              <w:t>線上教學影片，</w:t>
            </w:r>
            <w:r>
              <w:rPr>
                <w:rFonts w:hint="eastAsia"/>
                <w:snapToGrid w:val="0"/>
              </w:rPr>
              <w:t>「</w:t>
            </w:r>
            <w:r>
              <w:rPr>
                <w:color w:val="000000" w:themeColor="text1"/>
              </w:rPr>
              <w:t>酷課資源庫</w:t>
            </w:r>
            <w:r>
              <w:rPr>
                <w:rFonts w:hint="eastAsia"/>
                <w:snapToGrid w:val="0"/>
              </w:rPr>
              <w:t>」</w:t>
            </w:r>
            <w:r>
              <w:rPr>
                <w:rFonts w:hint="eastAsia"/>
                <w:color w:val="000000" w:themeColor="text1"/>
              </w:rPr>
              <w:t>提供影音約4,396部，</w:t>
            </w:r>
            <w:r>
              <w:rPr>
                <w:rFonts w:hint="eastAsia"/>
                <w:snapToGrid w:val="0"/>
              </w:rPr>
              <w:t>「</w:t>
            </w:r>
            <w:r>
              <w:rPr>
                <w:color w:val="000000" w:themeColor="text1"/>
              </w:rPr>
              <w:t>酷課網路學校</w:t>
            </w:r>
            <w:r>
              <w:rPr>
                <w:rFonts w:hint="eastAsia"/>
                <w:snapToGrid w:val="0"/>
              </w:rPr>
              <w:t>」</w:t>
            </w:r>
            <w:r>
              <w:rPr>
                <w:rFonts w:hint="eastAsia"/>
                <w:color w:val="000000" w:themeColor="text1"/>
              </w:rPr>
              <w:t>公開的課程數有2,420課。</w:t>
            </w:r>
          </w:p>
        </w:tc>
      </w:tr>
      <w:tr w:rsidR="00FF2F94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FF2F94" w:rsidRDefault="00AE6D76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r>
              <w:rPr>
                <w:rFonts w:cs="新細明體" w:hint="eastAsia"/>
              </w:rPr>
              <w:t>臺</w:t>
            </w:r>
            <w:r w:rsidR="008A47D7">
              <w:rPr>
                <w:rFonts w:cs="新細明體" w:hint="eastAsia"/>
              </w:rPr>
              <w:t>南市</w:t>
            </w:r>
            <w:hyperlink r:id="rId28" w:history="1">
              <w:r w:rsidR="008A47D7">
                <w:rPr>
                  <w:rStyle w:val="a7"/>
                  <w:rFonts w:cs="新細明體" w:hint="eastAsia"/>
                </w:rPr>
                <w:t>飛番雲</w:t>
              </w:r>
              <w:r w:rsidR="008A47D7">
                <w:rPr>
                  <w:rStyle w:val="a7"/>
                  <w:rFonts w:hint="eastAsia"/>
                </w:rPr>
                <w:t>-創課坊</w:t>
              </w:r>
            </w:hyperlink>
          </w:p>
        </w:tc>
        <w:tc>
          <w:tcPr>
            <w:tcW w:w="7088" w:type="dxa"/>
            <w:shd w:val="clear" w:color="auto" w:fill="auto"/>
          </w:tcPr>
          <w:p w:rsidR="00FF2F94" w:rsidRDefault="008A47D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 w:hint="eastAsia"/>
              </w:rPr>
              <w:t>集合全國各級機關、學者、學校、</w:t>
            </w:r>
            <w:r w:rsidR="009576EE">
              <w:rPr>
                <w:rFonts w:cs="Times New Roman" w:hint="eastAsia"/>
              </w:rPr>
              <w:t>老師</w:t>
            </w:r>
            <w:r>
              <w:rPr>
                <w:rFonts w:cs="Times New Roman" w:hint="eastAsia"/>
              </w:rPr>
              <w:t>、學生、業者等，提供國小、國中各學習領域教學資源、符合課程單元的知識，約1800筆影音或電子書。</w:t>
            </w:r>
          </w:p>
        </w:tc>
      </w:tr>
      <w:tr w:rsidR="001A731E" w:rsidTr="00CE10A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538135" w:themeFill="accent6" w:themeFillShade="BF"/>
          </w:tcPr>
          <w:p w:rsidR="001A731E" w:rsidRDefault="001A731E" w:rsidP="00CE10A2">
            <w:pPr>
              <w:widowControl/>
              <w:jc w:val="center"/>
              <w:rPr>
                <w:rFonts w:cs="新細明體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網站、網址</w:t>
            </w:r>
          </w:p>
        </w:tc>
        <w:tc>
          <w:tcPr>
            <w:tcW w:w="7088" w:type="dxa"/>
            <w:shd w:val="clear" w:color="auto" w:fill="538135" w:themeFill="accent6" w:themeFillShade="BF"/>
          </w:tcPr>
          <w:p w:rsidR="001A731E" w:rsidRDefault="001A731E" w:rsidP="00CE10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內容</w:t>
            </w:r>
          </w:p>
        </w:tc>
      </w:tr>
      <w:tr w:rsidR="00FF2F94" w:rsidTr="001A731E">
        <w:trPr>
          <w:trHeight w:val="1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2F2F2" w:themeFill="background1" w:themeFillShade="F2"/>
          </w:tcPr>
          <w:p w:rsidR="00FF2F94" w:rsidRDefault="008A47D7" w:rsidP="00ED77C0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r>
              <w:rPr>
                <w:rFonts w:cs="新細明體" w:hint="eastAsia"/>
              </w:rPr>
              <w:lastRenderedPageBreak/>
              <w:t>LearnMode</w:t>
            </w:r>
            <w:hyperlink r:id="rId29" w:history="1">
              <w:r>
                <w:rPr>
                  <w:rStyle w:val="a7"/>
                  <w:rFonts w:cs="新細明體" w:hint="eastAsia"/>
                </w:rPr>
                <w:t>學習吧</w:t>
              </w:r>
            </w:hyperlink>
            <w:r>
              <w:rPr>
                <w:rFonts w:cs="新細明體" w:hint="eastAsia"/>
              </w:rPr>
              <w:t xml:space="preserve">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1A731E" w:rsidRPr="001A731E" w:rsidRDefault="001A731E" w:rsidP="001A731E">
            <w:pPr>
              <w:pStyle w:val="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A731E">
              <w:rPr>
                <w:rFonts w:ascii="標楷體" w:eastAsia="標楷體" w:hAnsi="標楷體" w:cs="Times New Roman" w:hint="eastAsia"/>
                <w:kern w:val="0"/>
                <w:szCs w:val="24"/>
              </w:rPr>
              <w:t>國中小各版本課程：教學影片、講義、練習題。</w:t>
            </w:r>
          </w:p>
          <w:p w:rsidR="001A731E" w:rsidRPr="001A731E" w:rsidRDefault="001A731E" w:rsidP="001A731E">
            <w:pPr>
              <w:pStyle w:val="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A731E">
              <w:rPr>
                <w:rFonts w:ascii="標楷體" w:eastAsia="標楷體" w:hAnsi="標楷體" w:cs="Times New Roman" w:hint="eastAsia"/>
                <w:kern w:val="0"/>
                <w:szCs w:val="24"/>
              </w:rPr>
              <w:t>跨領域素養導向閱讀理解課程，包含時事、國際新聞、科普文本、閱讀理解評量，</w:t>
            </w:r>
            <w:r w:rsidRPr="001A731E">
              <w:rPr>
                <w:rFonts w:ascii="標楷體" w:eastAsia="標楷體" w:hAnsi="標楷體" w:cs="Times New Roman"/>
                <w:kern w:val="0"/>
                <w:szCs w:val="24"/>
              </w:rPr>
              <w:t>AI</w:t>
            </w:r>
            <w:r w:rsidRPr="001A731E">
              <w:rPr>
                <w:rFonts w:ascii="標楷體" w:eastAsia="標楷體" w:hAnsi="標楷體" w:cs="Times New Roman" w:hint="eastAsia"/>
                <w:kern w:val="0"/>
                <w:szCs w:val="24"/>
              </w:rPr>
              <w:t>結合語音辨識，增進數位閱讀理解能力、口語表達及敘事能力。</w:t>
            </w:r>
          </w:p>
          <w:p w:rsidR="00FF2F94" w:rsidRPr="001A731E" w:rsidRDefault="001A731E" w:rsidP="001A731E">
            <w:pPr>
              <w:pStyle w:val="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731E">
              <w:rPr>
                <w:rFonts w:ascii="標楷體" w:eastAsia="標楷體" w:hAnsi="標楷體" w:cs="Times New Roman" w:hint="eastAsia"/>
                <w:kern w:val="0"/>
                <w:szCs w:val="24"/>
              </w:rPr>
              <w:t>教師亦可使用平臺工具建立個人線上課程供學生使用。</w:t>
            </w:r>
          </w:p>
        </w:tc>
      </w:tr>
      <w:tr w:rsidR="004B4461" w:rsidTr="002C6BC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4B4461" w:rsidRDefault="00261964" w:rsidP="004B4461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hyperlink r:id="rId30" w:history="1">
              <w:r w:rsidR="004B4461">
                <w:rPr>
                  <w:rStyle w:val="a7"/>
                  <w:rFonts w:cs="新細明體" w:hint="eastAsia"/>
                </w:rPr>
                <w:t>均一教育</w:t>
              </w:r>
            </w:hyperlink>
            <w:r w:rsidR="004B4461">
              <w:rPr>
                <w:rStyle w:val="a7"/>
                <w:rFonts w:cs="新細明體" w:hint="eastAsia"/>
              </w:rPr>
              <w:t>平台</w:t>
            </w:r>
            <w:r w:rsidR="004B4461">
              <w:rPr>
                <w:rFonts w:cs="新細明體" w:hint="eastAsia"/>
              </w:rPr>
              <w:t xml:space="preserve"> </w:t>
            </w:r>
            <w:hyperlink r:id="rId31" w:history="1"/>
            <w:r w:rsidR="004B4461">
              <w:rPr>
                <w:rFonts w:cs="新細明體" w:hint="eastAsia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4B4461" w:rsidRPr="001A731E" w:rsidRDefault="004B4461" w:rsidP="001A731E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A731E">
              <w:rPr>
                <w:rFonts w:cs="Times New Roman" w:hint="eastAsia"/>
              </w:rPr>
              <w:t>包括國小、國中、高中及高職教材影音與測驗。</w:t>
            </w:r>
          </w:p>
        </w:tc>
      </w:tr>
      <w:tr w:rsidR="004B4461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2F2F2" w:themeFill="background1" w:themeFillShade="F2"/>
          </w:tcPr>
          <w:p w:rsidR="004B4461" w:rsidRDefault="004B4461" w:rsidP="004B4461">
            <w:pPr>
              <w:widowControl/>
              <w:ind w:left="240" w:hangingChars="100" w:hanging="240"/>
            </w:pPr>
            <w:r>
              <w:rPr>
                <w:rFonts w:hint="eastAsia"/>
              </w:rPr>
              <w:t>高雄市</w:t>
            </w:r>
            <w:hyperlink r:id="rId32" w:history="1">
              <w:r>
                <w:rPr>
                  <w:rStyle w:val="a7"/>
                  <w:rFonts w:hint="eastAsia"/>
                </w:rPr>
                <w:t>Egame</w:t>
              </w:r>
            </w:hyperlink>
            <w:r>
              <w:rPr>
                <w:rFonts w:hint="eastAsia"/>
              </w:rPr>
              <w:t xml:space="preserve"> 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4B4461" w:rsidRPr="001A731E" w:rsidRDefault="004B4461" w:rsidP="001A731E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A731E">
              <w:rPr>
                <w:rFonts w:cs="Times New Roman" w:hint="eastAsia"/>
              </w:rPr>
              <w:t>以遊戲式學習的方式讓學生進行自主學習，內容有英文單字的「英文島」、配合「程式翻轉城市」的主題開發「打寇島」、以訓練學生思考和邏輯推理能力的「賽斯島」及「史丹島」、及以數學為主的「美斯島」。</w:t>
            </w:r>
          </w:p>
        </w:tc>
      </w:tr>
      <w:tr w:rsidR="004B4461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4B4461" w:rsidRDefault="00261964" w:rsidP="004B4461">
            <w:pPr>
              <w:widowControl/>
              <w:rPr>
                <w:rFonts w:cs="新細明體"/>
                <w:b w:val="0"/>
                <w:bCs w:val="0"/>
              </w:rPr>
            </w:pPr>
            <w:hyperlink r:id="rId33" w:history="1">
              <w:r w:rsidR="004B4461">
                <w:rPr>
                  <w:rStyle w:val="a7"/>
                  <w:rFonts w:cs="新細明體" w:hint="eastAsia"/>
                </w:rPr>
                <w:t>CoolEnglish</w:t>
              </w:r>
            </w:hyperlink>
            <w:r w:rsidR="004B4461">
              <w:rPr>
                <w:rFonts w:cs="新細明體" w:hint="eastAsia"/>
              </w:rPr>
              <w:t>英語線上學習平臺</w:t>
            </w:r>
          </w:p>
          <w:p w:rsidR="004B4461" w:rsidRDefault="004B4461" w:rsidP="004B4461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</w:p>
        </w:tc>
        <w:tc>
          <w:tcPr>
            <w:tcW w:w="7088" w:type="dxa"/>
            <w:shd w:val="clear" w:color="auto" w:fill="auto"/>
          </w:tcPr>
          <w:p w:rsidR="004B4461" w:rsidRPr="001A731E" w:rsidRDefault="004B4461" w:rsidP="001A731E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A731E">
              <w:rPr>
                <w:rFonts w:cs="Times New Roman" w:hint="eastAsia"/>
              </w:rPr>
              <w:t>提供介於</w:t>
            </w:r>
            <w:r w:rsidRPr="001A731E">
              <w:rPr>
                <w:rFonts w:cs="Times New Roman"/>
              </w:rPr>
              <w:t>9</w:t>
            </w:r>
            <w:r w:rsidRPr="001A731E">
              <w:rPr>
                <w:rFonts w:cs="Times New Roman" w:hint="eastAsia"/>
              </w:rPr>
              <w:t>歲至</w:t>
            </w:r>
            <w:r w:rsidRPr="001A731E">
              <w:rPr>
                <w:rFonts w:cs="Times New Roman"/>
              </w:rPr>
              <w:t>15</w:t>
            </w:r>
            <w:r w:rsidRPr="001A731E">
              <w:rPr>
                <w:rFonts w:cs="Times New Roman" w:hint="eastAsia"/>
              </w:rPr>
              <w:t>歲學生個人</w:t>
            </w:r>
            <w:r w:rsidRPr="001A731E">
              <w:rPr>
                <w:rFonts w:cs="新細明體" w:hint="eastAsia"/>
              </w:rPr>
              <w:t>英語線上</w:t>
            </w:r>
            <w:r w:rsidRPr="001A731E">
              <w:rPr>
                <w:rFonts w:cs="Times New Roman" w:hint="eastAsia"/>
              </w:rPr>
              <w:t>學習為主，特別規劃學習區及遊戲區兩大區塊，內容包含聽、說、讀、寫、字彙、文法等，影片1,712部，習題7,079題。</w:t>
            </w:r>
          </w:p>
        </w:tc>
      </w:tr>
      <w:tr w:rsidR="004B4461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2F2F2" w:themeFill="background1" w:themeFillShade="F2"/>
          </w:tcPr>
          <w:p w:rsidR="004B4461" w:rsidRDefault="00261964" w:rsidP="004B4461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hyperlink r:id="rId34" w:history="1">
              <w:r w:rsidR="004B4461">
                <w:rPr>
                  <w:rStyle w:val="a7"/>
                  <w:rFonts w:cs="新細明體" w:hint="eastAsia"/>
                </w:rPr>
                <w:t>PaGamO</w:t>
              </w:r>
            </w:hyperlink>
            <w:r w:rsidR="004B4461">
              <w:rPr>
                <w:rFonts w:cs="新細明體" w:hint="eastAsia"/>
              </w:rPr>
              <w:t>線上學習平台</w:t>
            </w:r>
          </w:p>
          <w:p w:rsidR="004B4461" w:rsidRDefault="004B4461" w:rsidP="004B4461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</w:p>
          <w:p w:rsidR="004B4461" w:rsidRDefault="004B4461" w:rsidP="004B4461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:rsidR="004B4461" w:rsidRPr="001A731E" w:rsidRDefault="004B4461" w:rsidP="001A731E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A731E">
              <w:rPr>
                <w:rFonts w:cs="Times New Roman" w:hint="eastAsia"/>
              </w:rPr>
              <w:t>內容</w:t>
            </w:r>
            <w:r w:rsidRPr="001A731E">
              <w:rPr>
                <w:rFonts w:cs="Times New Roman"/>
              </w:rPr>
              <w:t>涵蓋國小、國中、高中</w:t>
            </w:r>
            <w:r w:rsidRPr="001A731E">
              <w:rPr>
                <w:rFonts w:cs="Times New Roman" w:hint="eastAsia"/>
              </w:rPr>
              <w:t>及</w:t>
            </w:r>
            <w:r w:rsidRPr="001A731E">
              <w:rPr>
                <w:rFonts w:cs="Times New Roman"/>
              </w:rPr>
              <w:t>高職各版本教科書</w:t>
            </w:r>
            <w:r w:rsidRPr="001A731E">
              <w:rPr>
                <w:rFonts w:cs="Times New Roman" w:hint="eastAsia"/>
              </w:rPr>
              <w:t>個科目題</w:t>
            </w:r>
            <w:r w:rsidRPr="001A731E">
              <w:rPr>
                <w:rFonts w:cs="Times New Roman"/>
              </w:rPr>
              <w:t>庫</w:t>
            </w:r>
            <w:r w:rsidRPr="001A731E">
              <w:rPr>
                <w:rFonts w:cs="Times New Roman" w:hint="eastAsia"/>
              </w:rPr>
              <w:t>，以及閱讀素養題目。</w:t>
            </w:r>
            <w:r w:rsidRPr="001A731E">
              <w:rPr>
                <w:rFonts w:cs="Times New Roman"/>
              </w:rPr>
              <w:t>老師使用題庫</w:t>
            </w:r>
            <w:r w:rsidRPr="001A731E">
              <w:rPr>
                <w:rFonts w:cs="Times New Roman" w:hint="eastAsia"/>
              </w:rPr>
              <w:t>選題製</w:t>
            </w:r>
            <w:r w:rsidRPr="001A731E">
              <w:rPr>
                <w:rFonts w:cs="Times New Roman"/>
              </w:rPr>
              <w:t>作回家作業</w:t>
            </w:r>
            <w:r w:rsidRPr="001A731E">
              <w:rPr>
                <w:rFonts w:cs="Times New Roman" w:hint="eastAsia"/>
              </w:rPr>
              <w:t>，</w:t>
            </w:r>
            <w:r w:rsidRPr="001A731E">
              <w:rPr>
                <w:rFonts w:cs="Times New Roman"/>
              </w:rPr>
              <w:t>學生透過遊戲任務完成作業</w:t>
            </w:r>
            <w:r w:rsidRPr="001A731E">
              <w:rPr>
                <w:rFonts w:cs="Times New Roman" w:hint="eastAsia"/>
              </w:rPr>
              <w:t>。</w:t>
            </w:r>
            <w:r w:rsidRPr="001A731E">
              <w:rPr>
                <w:rFonts w:cs="Times New Roman"/>
              </w:rPr>
              <w:t>後臺</w:t>
            </w:r>
            <w:r w:rsidRPr="001A731E">
              <w:rPr>
                <w:rFonts w:cs="Times New Roman" w:hint="eastAsia"/>
              </w:rPr>
              <w:t>可</w:t>
            </w:r>
            <w:r w:rsidRPr="001A731E">
              <w:rPr>
                <w:rFonts w:cs="Times New Roman"/>
              </w:rPr>
              <w:t>查看學生答題狀況</w:t>
            </w:r>
            <w:r w:rsidRPr="001A731E">
              <w:rPr>
                <w:rFonts w:cs="Times New Roman" w:hint="eastAsia"/>
              </w:rPr>
              <w:t>、</w:t>
            </w:r>
            <w:r w:rsidRPr="001A731E">
              <w:rPr>
                <w:rFonts w:cs="Times New Roman"/>
              </w:rPr>
              <w:t>進行補救教學。</w:t>
            </w:r>
          </w:p>
        </w:tc>
      </w:tr>
      <w:tr w:rsidR="004B4461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:rsidR="004B4461" w:rsidRDefault="00261964" w:rsidP="004B4461">
            <w:pPr>
              <w:widowControl/>
              <w:jc w:val="both"/>
              <w:rPr>
                <w:rFonts w:cs="Times New Roman"/>
                <w:b w:val="0"/>
                <w:bCs w:val="0"/>
              </w:rPr>
            </w:pPr>
            <w:hyperlink r:id="rId35" w:history="1">
              <w:r w:rsidR="004B4461">
                <w:rPr>
                  <w:rStyle w:val="a7"/>
                  <w:rFonts w:cs="Times New Roman" w:hint="eastAsia"/>
                </w:rPr>
                <w:t>國民中小學課程與教學資源整合平臺CIRN</w:t>
              </w:r>
            </w:hyperlink>
            <w:r w:rsidR="004B4461">
              <w:rPr>
                <w:rFonts w:cs="Times New Roman" w:hint="eastAsia"/>
              </w:rPr>
              <w:t xml:space="preserve"> </w:t>
            </w:r>
            <w:hyperlink r:id="rId36" w:history="1"/>
          </w:p>
        </w:tc>
        <w:tc>
          <w:tcPr>
            <w:tcW w:w="7088" w:type="dxa"/>
            <w:shd w:val="clear" w:color="auto" w:fill="auto"/>
          </w:tcPr>
          <w:p w:rsidR="004B4461" w:rsidRPr="001A731E" w:rsidRDefault="004B4461" w:rsidP="001A731E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A731E">
              <w:rPr>
                <w:rFonts w:cs="Times New Roman"/>
              </w:rPr>
              <w:t>以老師為主，內容分為12個構面，內含20個新建網頁資源及50個連結本部以外之網站，提供12年課綱最新、最完整的資訊及輔導團產出之教材、教案等。</w:t>
            </w:r>
          </w:p>
        </w:tc>
      </w:tr>
    </w:tbl>
    <w:p w:rsidR="00B7374E" w:rsidRDefault="00B7374E"/>
    <w:tbl>
      <w:tblPr>
        <w:tblStyle w:val="2-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7067"/>
      </w:tblGrid>
      <w:tr w:rsidR="00726577" w:rsidTr="002C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726577" w:rsidRDefault="00726577" w:rsidP="00726577">
            <w:pPr>
              <w:widowControl/>
              <w:jc w:val="center"/>
              <w:rPr>
                <w:bCs w:val="0"/>
                <w:color w:val="000000" w:themeColor="text1"/>
                <w:lang w:eastAsia="zh-HK"/>
              </w:rPr>
            </w:pPr>
            <w:r w:rsidRPr="008E4918">
              <w:rPr>
                <w:rFonts w:cs="新細明體" w:hint="eastAsia"/>
                <w:color w:val="000000" w:themeColor="text1"/>
                <w:sz w:val="28"/>
                <w:szCs w:val="28"/>
                <w:lang w:eastAsia="zh-HK"/>
              </w:rPr>
              <w:t>高中開放式課程</w:t>
            </w:r>
          </w:p>
        </w:tc>
      </w:tr>
      <w:tr w:rsidR="001D0299" w:rsidTr="002C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</w:tcPr>
          <w:p w:rsidR="001D0299" w:rsidRDefault="001D0299" w:rsidP="00D34AC7">
            <w:pPr>
              <w:widowControl/>
              <w:jc w:val="center"/>
              <w:rPr>
                <w:rFonts w:cs="新細明體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網站、網址</w:t>
            </w:r>
          </w:p>
        </w:tc>
        <w:tc>
          <w:tcPr>
            <w:tcW w:w="70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38135" w:themeFill="accent6" w:themeFillShade="BF"/>
          </w:tcPr>
          <w:p w:rsidR="001D0299" w:rsidRDefault="001D0299" w:rsidP="00D34A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內容</w:t>
            </w:r>
          </w:p>
        </w:tc>
      </w:tr>
      <w:tr w:rsidR="002C6BC8" w:rsidTr="00502FA7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auto"/>
            <w:vAlign w:val="center"/>
          </w:tcPr>
          <w:p w:rsidR="002C6BC8" w:rsidRPr="00A653A5" w:rsidRDefault="00261964" w:rsidP="00B21FA5">
            <w:pPr>
              <w:widowControl/>
              <w:ind w:left="240" w:hangingChars="100" w:hanging="240"/>
            </w:pPr>
            <w:hyperlink r:id="rId37" w:history="1">
              <w:r w:rsidR="002C6BC8" w:rsidRPr="00A653A5">
                <w:rPr>
                  <w:rStyle w:val="a7"/>
                  <w:bCs w:val="0"/>
                </w:rPr>
                <w:t>DeltaMOOCx</w:t>
              </w:r>
              <w:r w:rsidR="002C6BC8" w:rsidRPr="00A653A5">
                <w:rPr>
                  <w:rStyle w:val="a7"/>
                  <w:rFonts w:hint="eastAsia"/>
                  <w:bCs w:val="0"/>
                  <w:lang w:eastAsia="zh-HK"/>
                </w:rPr>
                <w:t>愛學網</w:t>
              </w:r>
            </w:hyperlink>
          </w:p>
        </w:tc>
        <w:tc>
          <w:tcPr>
            <w:tcW w:w="7067" w:type="dxa"/>
            <w:shd w:val="clear" w:color="auto" w:fill="auto"/>
          </w:tcPr>
          <w:p w:rsidR="002C6BC8" w:rsidRPr="00E8529D" w:rsidRDefault="002C6BC8" w:rsidP="00502F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5D2635">
              <w:rPr>
                <w:rFonts w:cs="Times New Roman"/>
                <w:color w:val="000000"/>
              </w:rPr>
              <w:t>DeltaMOOCx是由台達基金會、國家教育研究院以及數學、物理、電機電子等學群科中心所共同合作</w:t>
            </w:r>
            <w:r w:rsidRPr="005D2635">
              <w:rPr>
                <w:rFonts w:cs="Times New Roman" w:hint="eastAsia"/>
                <w:color w:val="000000"/>
                <w:lang w:eastAsia="zh-HK"/>
              </w:rPr>
              <w:t>，</w:t>
            </w:r>
            <w:r w:rsidRPr="00E8529D">
              <w:rPr>
                <w:rFonts w:hint="eastAsia"/>
                <w:bCs/>
                <w:color w:val="000000" w:themeColor="text1"/>
                <w:lang w:eastAsia="zh-HK"/>
              </w:rPr>
              <w:t>提供高中職數學、物理、化學、生物、地球科學與電機電子群六大群科</w:t>
            </w:r>
            <w:r w:rsidRPr="00E8529D">
              <w:rPr>
                <w:rFonts w:hint="eastAsia"/>
                <w:bCs/>
                <w:color w:val="000000" w:themeColor="text1"/>
              </w:rPr>
              <w:t>2,661</w:t>
            </w:r>
            <w:r w:rsidRPr="00E8529D">
              <w:rPr>
                <w:rFonts w:hint="eastAsia"/>
                <w:bCs/>
                <w:color w:val="000000" w:themeColor="text1"/>
                <w:lang w:eastAsia="zh-HK"/>
              </w:rPr>
              <w:t>部影片。</w:t>
            </w:r>
          </w:p>
        </w:tc>
      </w:tr>
      <w:tr w:rsidR="002C6BC8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F2F2F2" w:themeFill="background1" w:themeFillShade="F2"/>
            <w:vAlign w:val="center"/>
          </w:tcPr>
          <w:p w:rsidR="002C6BC8" w:rsidRDefault="00261964" w:rsidP="002C6BC8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hyperlink r:id="rId38" w:history="1">
              <w:r w:rsidR="002C6BC8">
                <w:rPr>
                  <w:rStyle w:val="a7"/>
                  <w:rFonts w:cs="新細明體" w:hint="eastAsia"/>
                  <w:lang w:eastAsia="zh-HK"/>
                </w:rPr>
                <w:t>育網</w:t>
              </w:r>
            </w:hyperlink>
            <w:r w:rsidR="002C6BC8">
              <w:rPr>
                <w:rFonts w:cs="新細明體" w:hint="eastAsia"/>
              </w:rPr>
              <w:t xml:space="preserve"> (e</w:t>
            </w:r>
            <w:r w:rsidR="002C6BC8">
              <w:rPr>
                <w:rFonts w:cs="新細明體"/>
              </w:rPr>
              <w:t>W</w:t>
            </w:r>
            <w:r w:rsidR="002C6BC8">
              <w:rPr>
                <w:rFonts w:cs="新細明體" w:hint="eastAsia"/>
              </w:rPr>
              <w:t>ant)</w:t>
            </w:r>
          </w:p>
        </w:tc>
        <w:tc>
          <w:tcPr>
            <w:tcW w:w="7067" w:type="dxa"/>
            <w:shd w:val="clear" w:color="auto" w:fill="F2F2F2" w:themeFill="background1" w:themeFillShade="F2"/>
          </w:tcPr>
          <w:p w:rsidR="002C6BC8" w:rsidRDefault="002C6BC8" w:rsidP="00502F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與特定學校或機構合作開課，開放選修課程，也提供免費的磨課師課程，修課通過實體考試合格後可獲得學分。</w:t>
            </w:r>
            <w:r>
              <w:rPr>
                <w:rFonts w:hint="eastAsia"/>
                <w:bCs/>
                <w:color w:val="000000" w:themeColor="text1"/>
                <w:lang w:eastAsia="zh-HK"/>
              </w:rPr>
              <w:t>推薦其中93門課程給高中生。</w:t>
            </w:r>
          </w:p>
        </w:tc>
      </w:tr>
      <w:tr w:rsidR="002C6BC8" w:rsidTr="00B21F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auto"/>
            <w:vAlign w:val="center"/>
          </w:tcPr>
          <w:p w:rsidR="002C6BC8" w:rsidRDefault="00261964" w:rsidP="00B21FA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  <w:hyperlink r:id="rId39" w:history="1">
              <w:r w:rsidR="002C6BC8">
                <w:rPr>
                  <w:rStyle w:val="a7"/>
                  <w:rFonts w:cs="新細明體" w:hint="eastAsia"/>
                  <w:lang w:eastAsia="zh-HK"/>
                </w:rPr>
                <w:t>中華開放教育平臺</w:t>
              </w:r>
            </w:hyperlink>
            <w:r w:rsidR="002C6BC8">
              <w:rPr>
                <w:rFonts w:cs="新細明體" w:hint="eastAsia"/>
              </w:rPr>
              <w:t xml:space="preserve"> (OpenEdu)</w:t>
            </w:r>
          </w:p>
          <w:p w:rsidR="002C6BC8" w:rsidRDefault="002C6BC8" w:rsidP="00B21FA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</w:rPr>
            </w:pPr>
          </w:p>
        </w:tc>
        <w:tc>
          <w:tcPr>
            <w:tcW w:w="7067" w:type="dxa"/>
            <w:shd w:val="clear" w:color="auto" w:fill="auto"/>
          </w:tcPr>
          <w:p w:rsidR="002C6BC8" w:rsidRDefault="002C6BC8" w:rsidP="00502F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  <w:lang w:eastAsia="zh-HK"/>
              </w:rPr>
              <w:t>提供</w:t>
            </w:r>
            <w:r>
              <w:rPr>
                <w:rFonts w:hint="eastAsia"/>
                <w:bCs/>
                <w:color w:val="000000" w:themeColor="text1"/>
              </w:rPr>
              <w:t>教育部補助發展之特定科技領域專業課程，亦針對特定對象</w:t>
            </w:r>
            <w:r>
              <w:rPr>
                <w:bCs/>
                <w:color w:val="000000" w:themeColor="text1"/>
              </w:rPr>
              <w:t>(如大學程式教育、準大學生、高中生)開設專區，提供特定對象自學</w:t>
            </w:r>
            <w:r>
              <w:rPr>
                <w:rFonts w:hint="eastAsia"/>
                <w:bCs/>
                <w:color w:val="000000" w:themeColor="text1"/>
                <w:lang w:eastAsia="zh-HK"/>
              </w:rPr>
              <w:t>。其中依學群推薦79門課程給高中生。</w:t>
            </w:r>
          </w:p>
        </w:tc>
      </w:tr>
      <w:tr w:rsidR="00502FA7" w:rsidTr="00CE10A2">
        <w:trPr>
          <w:trHeight w:val="4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538135" w:themeFill="accent6" w:themeFillShade="BF"/>
          </w:tcPr>
          <w:p w:rsidR="00502FA7" w:rsidRDefault="00502FA7" w:rsidP="00CE10A2">
            <w:pPr>
              <w:widowControl/>
              <w:jc w:val="center"/>
              <w:rPr>
                <w:rFonts w:cs="新細明體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網站、網址</w:t>
            </w:r>
          </w:p>
        </w:tc>
        <w:tc>
          <w:tcPr>
            <w:tcW w:w="7067" w:type="dxa"/>
            <w:shd w:val="clear" w:color="auto" w:fill="538135" w:themeFill="accent6" w:themeFillShade="BF"/>
          </w:tcPr>
          <w:p w:rsidR="00502FA7" w:rsidRDefault="00502FA7" w:rsidP="00CE10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內容</w:t>
            </w:r>
          </w:p>
        </w:tc>
      </w:tr>
      <w:tr w:rsidR="002C6BC8" w:rsidTr="00B21F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F2F2F2" w:themeFill="background1" w:themeFillShade="F2"/>
            <w:vAlign w:val="center"/>
          </w:tcPr>
          <w:p w:rsidR="002C6BC8" w:rsidRDefault="00261964" w:rsidP="00B21FA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40" w:history="1">
              <w:r w:rsidR="002C6BC8">
                <w:rPr>
                  <w:rStyle w:val="a7"/>
                  <w:rFonts w:cs="新細明體" w:hint="eastAsia"/>
                  <w:lang w:eastAsia="zh-HK"/>
                </w:rPr>
                <w:t>臺灣全民學習平臺</w:t>
              </w:r>
            </w:hyperlink>
            <w:r w:rsidR="002C6BC8">
              <w:rPr>
                <w:rFonts w:cs="新細明體" w:hint="eastAsia"/>
              </w:rPr>
              <w:t xml:space="preserve"> (</w:t>
            </w:r>
            <w:r w:rsidR="002C6BC8">
              <w:rPr>
                <w:rFonts w:cs="新細明體" w:hint="eastAsia"/>
                <w:lang w:eastAsia="zh-HK"/>
              </w:rPr>
              <w:t>TaiwanLIFE)</w:t>
            </w:r>
          </w:p>
          <w:p w:rsidR="002C6BC8" w:rsidRDefault="002C6BC8" w:rsidP="00B21FA5">
            <w:pPr>
              <w:widowControl/>
              <w:rPr>
                <w:rFonts w:cs="新細明體"/>
                <w:b w:val="0"/>
                <w:bCs w:val="0"/>
              </w:rPr>
            </w:pPr>
          </w:p>
        </w:tc>
        <w:tc>
          <w:tcPr>
            <w:tcW w:w="7067" w:type="dxa"/>
            <w:shd w:val="clear" w:color="auto" w:fill="F2F2F2" w:themeFill="background1" w:themeFillShade="F2"/>
          </w:tcPr>
          <w:p w:rsidR="002C6BC8" w:rsidRDefault="002C6BC8" w:rsidP="00502F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學習者繳費後，經身分認證，參與該校辦理相關課程的實體考試合格後，獲得空大的正式學分，並規劃未來得納入終身學分銀行。</w:t>
            </w:r>
            <w:r>
              <w:rPr>
                <w:rFonts w:hint="eastAsia"/>
                <w:bCs/>
                <w:color w:val="000000" w:themeColor="text1"/>
                <w:lang w:eastAsia="zh-HK"/>
              </w:rPr>
              <w:t>推薦其中34門課程給高中生。</w:t>
            </w:r>
          </w:p>
        </w:tc>
      </w:tr>
      <w:tr w:rsidR="002C6BC8" w:rsidTr="00C539EC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auto"/>
            <w:vAlign w:val="center"/>
          </w:tcPr>
          <w:p w:rsidR="002C6BC8" w:rsidRDefault="00261964" w:rsidP="00B21FA5">
            <w:pPr>
              <w:widowControl/>
              <w:jc w:val="both"/>
              <w:rPr>
                <w:rFonts w:cs="Times New Roman"/>
                <w:b w:val="0"/>
                <w:bCs w:val="0"/>
                <w:lang w:eastAsia="zh-HK"/>
              </w:rPr>
            </w:pPr>
            <w:hyperlink r:id="rId41" w:history="1">
              <w:r w:rsidR="002C6BC8">
                <w:rPr>
                  <w:rStyle w:val="a7"/>
                  <w:rFonts w:cs="新細明體" w:hint="eastAsia"/>
                  <w:lang w:eastAsia="zh-HK"/>
                </w:rPr>
                <w:t>臺灣開放式課程暨教育聯盟</w:t>
              </w:r>
            </w:hyperlink>
            <w:r w:rsidR="002C6BC8">
              <w:rPr>
                <w:rFonts w:cs="新細明體" w:hint="eastAsia"/>
                <w:lang w:eastAsia="zh-HK"/>
              </w:rPr>
              <w:t>(TOCEC)</w:t>
            </w:r>
          </w:p>
        </w:tc>
        <w:tc>
          <w:tcPr>
            <w:tcW w:w="7067" w:type="dxa"/>
            <w:shd w:val="clear" w:color="auto" w:fill="auto"/>
          </w:tcPr>
          <w:p w:rsidR="002C6BC8" w:rsidRDefault="002C6BC8" w:rsidP="00502F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  <w:lang w:eastAsia="zh-HK"/>
              </w:rPr>
              <w:t>提供</w:t>
            </w:r>
            <w:r>
              <w:rPr>
                <w:rFonts w:hint="eastAsia"/>
                <w:color w:val="000000" w:themeColor="text1"/>
              </w:rPr>
              <w:t>隨堂側錄</w:t>
            </w:r>
            <w:r>
              <w:rPr>
                <w:rFonts w:hint="eastAsia"/>
                <w:color w:val="000000" w:themeColor="text1"/>
                <w:lang w:eastAsia="zh-HK"/>
              </w:rPr>
              <w:t>後簡單後製的大學</w:t>
            </w:r>
            <w:r>
              <w:rPr>
                <w:rFonts w:hint="eastAsia"/>
                <w:color w:val="000000" w:themeColor="text1"/>
              </w:rPr>
              <w:t>課堂教學內容，</w:t>
            </w:r>
            <w:r>
              <w:rPr>
                <w:rFonts w:hint="eastAsia"/>
                <w:color w:val="000000" w:themeColor="text1"/>
                <w:lang w:eastAsia="zh-HK"/>
              </w:rPr>
              <w:t>推薦其中</w:t>
            </w:r>
            <w:r w:rsidRPr="009F5765">
              <w:rPr>
                <w:rFonts w:hint="eastAsia"/>
              </w:rPr>
              <w:t>44</w:t>
            </w:r>
            <w:r>
              <w:rPr>
                <w:rFonts w:hint="eastAsia"/>
                <w:color w:val="000000" w:themeColor="text1"/>
                <w:lang w:eastAsia="zh-HK"/>
              </w:rPr>
              <w:t>門課程給高中生。</w:t>
            </w:r>
          </w:p>
        </w:tc>
      </w:tr>
      <w:tr w:rsidR="002C6BC8" w:rsidTr="00ED77C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dxa"/>
            <w:shd w:val="clear" w:color="auto" w:fill="F2F2F2" w:themeFill="background1" w:themeFillShade="F2"/>
            <w:vAlign w:val="center"/>
          </w:tcPr>
          <w:p w:rsidR="002C6BC8" w:rsidRDefault="00261964" w:rsidP="002C6BC8">
            <w:pPr>
              <w:widowControl/>
              <w:jc w:val="both"/>
              <w:rPr>
                <w:rFonts w:cs="Times New Roman"/>
                <w:b w:val="0"/>
                <w:bCs w:val="0"/>
                <w:lang w:eastAsia="zh-HK"/>
              </w:rPr>
            </w:pPr>
            <w:hyperlink r:id="rId42" w:history="1">
              <w:r w:rsidR="002C6BC8">
                <w:rPr>
                  <w:rStyle w:val="a7"/>
                  <w:rFonts w:cs="Times New Roman" w:hint="eastAsia"/>
                  <w:lang w:eastAsia="zh-HK"/>
                </w:rPr>
                <w:t>臺灣通識網</w:t>
              </w:r>
            </w:hyperlink>
            <w:r w:rsidR="002C6BC8">
              <w:rPr>
                <w:rFonts w:cs="Times New Roman" w:hint="eastAsia"/>
              </w:rPr>
              <w:t xml:space="preserve"> </w:t>
            </w:r>
            <w:r w:rsidR="002C6BC8" w:rsidRPr="002C6BC8">
              <w:rPr>
                <w:rFonts w:cs="Times New Roman"/>
              </w:rPr>
              <w:t>(get)</w:t>
            </w:r>
          </w:p>
        </w:tc>
        <w:tc>
          <w:tcPr>
            <w:tcW w:w="7067" w:type="dxa"/>
            <w:shd w:val="clear" w:color="auto" w:fill="F2F2F2" w:themeFill="background1" w:themeFillShade="F2"/>
          </w:tcPr>
          <w:p w:rsidR="002C6BC8" w:rsidRDefault="002C6BC8" w:rsidP="00502F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  <w:lang w:eastAsia="zh-HK"/>
              </w:rPr>
              <w:t>提供</w:t>
            </w:r>
            <w:r>
              <w:rPr>
                <w:bCs/>
                <w:color w:val="000000" w:themeColor="text1"/>
              </w:rPr>
              <w:t>大學校院通</w:t>
            </w:r>
            <w:r>
              <w:rPr>
                <w:rFonts w:hint="eastAsia"/>
                <w:bCs/>
                <w:color w:val="000000" w:themeColor="text1"/>
              </w:rPr>
              <w:t>識教育資料，</w:t>
            </w:r>
            <w:r>
              <w:rPr>
                <w:rFonts w:hint="eastAsia"/>
                <w:bCs/>
                <w:color w:val="000000" w:themeColor="text1"/>
                <w:lang w:eastAsia="zh-HK"/>
              </w:rPr>
              <w:t>包括</w:t>
            </w:r>
            <w:r>
              <w:rPr>
                <w:rFonts w:cs="新細明體" w:hint="eastAsia"/>
                <w:color w:val="000000" w:themeColor="text1"/>
                <w:lang w:eastAsia="zh-HK"/>
              </w:rPr>
              <w:t>課程大綱、講義、影音課程、延伸閱讀等，亦可下載課程教材包使用</w:t>
            </w:r>
            <w:r>
              <w:rPr>
                <w:rFonts w:hint="eastAsia"/>
                <w:bCs/>
                <w:color w:val="000000" w:themeColor="text1"/>
                <w:lang w:eastAsia="zh-HK"/>
              </w:rPr>
              <w:t>。推薦其中21門課程給高中生。</w:t>
            </w:r>
          </w:p>
        </w:tc>
      </w:tr>
    </w:tbl>
    <w:p w:rsidR="000C0371" w:rsidRDefault="000C0371"/>
    <w:tbl>
      <w:tblPr>
        <w:tblStyle w:val="2-31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6170"/>
      </w:tblGrid>
      <w:tr w:rsidR="00FF2F94" w:rsidTr="00BC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C5E0B3" w:themeFill="accent6" w:themeFillTint="66"/>
            <w:vAlign w:val="center"/>
          </w:tcPr>
          <w:p w:rsidR="00FF2F94" w:rsidRDefault="008A47D7">
            <w:pPr>
              <w:widowControl/>
              <w:jc w:val="center"/>
              <w:rPr>
                <w:bCs w:val="0"/>
                <w:color w:val="000000" w:themeColor="text1"/>
                <w:lang w:eastAsia="zh-HK"/>
              </w:rPr>
            </w:pPr>
            <w:r>
              <w:rPr>
                <w:rFonts w:cs="新細明體" w:hint="eastAsia"/>
                <w:color w:val="000000" w:themeColor="text1"/>
                <w:sz w:val="28"/>
                <w:szCs w:val="28"/>
              </w:rPr>
              <w:t>大</w:t>
            </w:r>
            <w:r>
              <w:rPr>
                <w:rFonts w:cs="新細明體" w:hint="eastAsia"/>
                <w:color w:val="000000" w:themeColor="text1"/>
                <w:sz w:val="28"/>
                <w:szCs w:val="28"/>
                <w:lang w:eastAsia="zh-HK"/>
              </w:rPr>
              <w:t>學及終身學習</w:t>
            </w:r>
          </w:p>
        </w:tc>
      </w:tr>
      <w:tr w:rsidR="000C0371" w:rsidTr="00A653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538135" w:themeFill="accent6" w:themeFillShade="BF"/>
          </w:tcPr>
          <w:p w:rsidR="000C0371" w:rsidRDefault="000C0371" w:rsidP="000C0371">
            <w:pPr>
              <w:widowControl/>
              <w:jc w:val="center"/>
              <w:rPr>
                <w:rFonts w:cs="新細明體"/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網站、網址</w:t>
            </w:r>
          </w:p>
        </w:tc>
        <w:tc>
          <w:tcPr>
            <w:tcW w:w="6170" w:type="dxa"/>
            <w:shd w:val="clear" w:color="auto" w:fill="538135" w:themeFill="accent6" w:themeFillShade="BF"/>
          </w:tcPr>
          <w:p w:rsidR="000C0371" w:rsidRDefault="000C0371" w:rsidP="000C03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新細明體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新細明體" w:hint="eastAsia"/>
                <w:color w:val="FFFFFF" w:themeColor="background1"/>
                <w:sz w:val="28"/>
                <w:szCs w:val="28"/>
              </w:rPr>
              <w:t>內容</w:t>
            </w:r>
          </w:p>
        </w:tc>
      </w:tr>
      <w:tr w:rsidR="009F5765" w:rsidTr="00A653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</w:tcPr>
          <w:p w:rsidR="009F5765" w:rsidRDefault="00261964" w:rsidP="009F576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43" w:history="1">
              <w:r w:rsidR="009F5765">
                <w:rPr>
                  <w:rStyle w:val="a7"/>
                  <w:rFonts w:cs="新細明體" w:hint="eastAsia"/>
                  <w:lang w:eastAsia="zh-HK"/>
                </w:rPr>
                <w:t>臺灣磨課師課程網</w:t>
              </w:r>
            </w:hyperlink>
            <w:r w:rsidR="009F5765">
              <w:rPr>
                <w:rFonts w:cs="新細明體" w:hint="eastAsia"/>
                <w:lang w:eastAsia="zh-HK"/>
              </w:rPr>
              <w:t>(TaiwanM</w:t>
            </w:r>
            <w:r w:rsidR="009F5765" w:rsidRPr="009F5765">
              <w:rPr>
                <w:rFonts w:cs="新細明體"/>
                <w:lang w:eastAsia="zh-HK"/>
              </w:rPr>
              <w:t>OOC</w:t>
            </w:r>
            <w:r w:rsidR="009F5765">
              <w:rPr>
                <w:rFonts w:cs="新細明體" w:hint="eastAsia"/>
                <w:lang w:eastAsia="zh-HK"/>
              </w:rPr>
              <w:t>)</w:t>
            </w:r>
          </w:p>
        </w:tc>
        <w:tc>
          <w:tcPr>
            <w:tcW w:w="6170" w:type="dxa"/>
          </w:tcPr>
          <w:p w:rsidR="009F5765" w:rsidRPr="009F5765" w:rsidRDefault="009F5765" w:rsidP="009F5765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F5765">
              <w:rPr>
                <w:rFonts w:hint="eastAsia"/>
                <w:bCs/>
                <w:lang w:eastAsia="zh-HK"/>
              </w:rPr>
              <w:t>提供</w:t>
            </w:r>
            <w:r w:rsidRPr="009F5765">
              <w:rPr>
                <w:rFonts w:hint="eastAsia"/>
              </w:rPr>
              <w:t>教育部補助大學發展之449</w:t>
            </w:r>
            <w:r w:rsidRPr="009F5765">
              <w:rPr>
                <w:rFonts w:hint="eastAsia"/>
                <w:lang w:eastAsia="zh-HK"/>
              </w:rPr>
              <w:t>門</w:t>
            </w:r>
            <w:r w:rsidRPr="009F5765">
              <w:rPr>
                <w:rFonts w:hint="eastAsia"/>
              </w:rPr>
              <w:t>磨課師課程</w:t>
            </w:r>
            <w:r w:rsidRPr="009F5765">
              <w:rPr>
                <w:rFonts w:hint="eastAsia"/>
                <w:lang w:eastAsia="zh-HK"/>
              </w:rPr>
              <w:t>開課情形</w:t>
            </w:r>
            <w:r w:rsidRPr="009F5765">
              <w:rPr>
                <w:rFonts w:hint="eastAsia"/>
              </w:rPr>
              <w:t>(</w:t>
            </w:r>
            <w:r w:rsidRPr="009F5765">
              <w:rPr>
                <w:rFonts w:hint="eastAsia"/>
                <w:lang w:eastAsia="zh-HK"/>
              </w:rPr>
              <w:t>含自學課程</w:t>
            </w:r>
            <w:r w:rsidRPr="009F5765">
              <w:rPr>
                <w:rFonts w:hint="eastAsia"/>
              </w:rPr>
              <w:t>已</w:t>
            </w:r>
            <w:r w:rsidRPr="009F5765">
              <w:rPr>
                <w:rFonts w:hint="eastAsia"/>
                <w:lang w:eastAsia="zh-HK"/>
              </w:rPr>
              <w:t>開設</w:t>
            </w:r>
            <w:r w:rsidRPr="009F5765">
              <w:rPr>
                <w:rFonts w:hint="eastAsia"/>
              </w:rPr>
              <w:t>622</w:t>
            </w:r>
            <w:r w:rsidRPr="009F5765">
              <w:rPr>
                <w:rFonts w:hint="eastAsia"/>
                <w:lang w:eastAsia="zh-HK"/>
              </w:rPr>
              <w:t>課次)。</w:t>
            </w:r>
          </w:p>
        </w:tc>
      </w:tr>
      <w:tr w:rsidR="009F5765" w:rsidTr="00A653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EDEDED" w:themeFill="accent3" w:themeFillTint="33"/>
            <w:vAlign w:val="center"/>
          </w:tcPr>
          <w:p w:rsidR="009F5765" w:rsidRDefault="00261964" w:rsidP="002C6BC8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44" w:history="1">
              <w:r w:rsidR="009F5765">
                <w:rPr>
                  <w:rStyle w:val="a7"/>
                  <w:rFonts w:cs="新細明體" w:hint="eastAsia"/>
                  <w:lang w:eastAsia="zh-HK"/>
                </w:rPr>
                <w:t>育網</w:t>
              </w:r>
            </w:hyperlink>
            <w:r w:rsidR="009F5765">
              <w:rPr>
                <w:rFonts w:cs="新細明體" w:hint="eastAsia"/>
              </w:rPr>
              <w:t xml:space="preserve"> (e</w:t>
            </w:r>
            <w:r w:rsidR="002C6BC8">
              <w:rPr>
                <w:rFonts w:cs="新細明體"/>
              </w:rPr>
              <w:t>W</w:t>
            </w:r>
            <w:r w:rsidR="009F5765">
              <w:rPr>
                <w:rFonts w:cs="新細明體" w:hint="eastAsia"/>
              </w:rPr>
              <w:t>ant)</w:t>
            </w:r>
          </w:p>
        </w:tc>
        <w:tc>
          <w:tcPr>
            <w:tcW w:w="6170" w:type="dxa"/>
            <w:shd w:val="clear" w:color="auto" w:fill="EDEDED" w:themeFill="accent3" w:themeFillTint="33"/>
          </w:tcPr>
          <w:p w:rsidR="009F5765" w:rsidRPr="009F5765" w:rsidRDefault="009F5765" w:rsidP="009F5765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8"/>
                <w:szCs w:val="20"/>
              </w:rPr>
            </w:pPr>
            <w:r w:rsidRPr="009F5765">
              <w:rPr>
                <w:rFonts w:hint="eastAsia"/>
                <w:bCs/>
              </w:rPr>
              <w:t>與特定學校或機構合作開課，開放選修課程，也提供免費的磨課師課程，修課通過實體考試合格後可獲得學分。</w:t>
            </w:r>
            <w:r w:rsidRPr="009F5765">
              <w:rPr>
                <w:rFonts w:hint="eastAsia"/>
                <w:bCs/>
                <w:lang w:eastAsia="zh-HK"/>
              </w:rPr>
              <w:t>目前提供</w:t>
            </w:r>
            <w:r w:rsidRPr="009F5765">
              <w:rPr>
                <w:rFonts w:hint="eastAsia"/>
                <w:bCs/>
              </w:rPr>
              <w:t>394</w:t>
            </w:r>
            <w:r w:rsidRPr="009F5765">
              <w:rPr>
                <w:rFonts w:hint="eastAsia"/>
                <w:bCs/>
                <w:lang w:eastAsia="zh-HK"/>
              </w:rPr>
              <w:t>門課。</w:t>
            </w:r>
          </w:p>
        </w:tc>
      </w:tr>
      <w:tr w:rsidR="009F5765" w:rsidTr="00A653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auto"/>
            <w:vAlign w:val="center"/>
          </w:tcPr>
          <w:p w:rsidR="009F5765" w:rsidRDefault="00261964" w:rsidP="009F576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45" w:history="1">
              <w:r w:rsidR="009F5765">
                <w:rPr>
                  <w:rStyle w:val="a7"/>
                  <w:rFonts w:cs="新細明體" w:hint="eastAsia"/>
                  <w:lang w:eastAsia="zh-HK"/>
                </w:rPr>
                <w:t>中華開放教育平臺</w:t>
              </w:r>
            </w:hyperlink>
            <w:r w:rsidR="009F5765">
              <w:rPr>
                <w:rFonts w:cs="新細明體" w:hint="eastAsia"/>
                <w:lang w:eastAsia="zh-HK"/>
              </w:rPr>
              <w:t xml:space="preserve"> (OpenEdu)</w:t>
            </w:r>
            <w:hyperlink r:id="rId46" w:history="1"/>
          </w:p>
        </w:tc>
        <w:tc>
          <w:tcPr>
            <w:tcW w:w="6170" w:type="dxa"/>
            <w:shd w:val="clear" w:color="auto" w:fill="auto"/>
          </w:tcPr>
          <w:p w:rsidR="009F5765" w:rsidRPr="009F5765" w:rsidRDefault="009F5765" w:rsidP="009F5765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8"/>
                <w:szCs w:val="20"/>
              </w:rPr>
            </w:pPr>
            <w:r w:rsidRPr="009F5765">
              <w:rPr>
                <w:rFonts w:hint="eastAsia"/>
                <w:bCs/>
                <w:lang w:eastAsia="zh-HK"/>
              </w:rPr>
              <w:t>除提供</w:t>
            </w:r>
            <w:r w:rsidRPr="009F5765">
              <w:rPr>
                <w:rFonts w:hint="eastAsia"/>
                <w:bCs/>
              </w:rPr>
              <w:t>教育部補助發展之特定科技領域專業課程，亦針對特定對象</w:t>
            </w:r>
            <w:r w:rsidRPr="009F5765">
              <w:rPr>
                <w:bCs/>
              </w:rPr>
              <w:t>(如大學程式教育、準大學生、高中生)開設專區，提供特定對象自學</w:t>
            </w:r>
            <w:r w:rsidRPr="009F5765">
              <w:rPr>
                <w:rFonts w:hint="eastAsia"/>
                <w:bCs/>
              </w:rPr>
              <w:t>，計</w:t>
            </w:r>
            <w:r w:rsidRPr="009F5765">
              <w:rPr>
                <w:rFonts w:hint="eastAsia"/>
                <w:bCs/>
                <w:lang w:eastAsia="zh-HK"/>
              </w:rPr>
              <w:t>422門課。</w:t>
            </w:r>
          </w:p>
        </w:tc>
      </w:tr>
      <w:tr w:rsidR="009F5765" w:rsidTr="00A653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EDEDED" w:themeFill="accent3" w:themeFillTint="33"/>
            <w:vAlign w:val="center"/>
          </w:tcPr>
          <w:p w:rsidR="009F5765" w:rsidRDefault="00261964" w:rsidP="009F576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47" w:history="1">
              <w:r w:rsidR="009F5765">
                <w:rPr>
                  <w:rStyle w:val="a7"/>
                  <w:rFonts w:cs="新細明體" w:hint="eastAsia"/>
                  <w:lang w:eastAsia="zh-HK"/>
                </w:rPr>
                <w:t>學聯網</w:t>
              </w:r>
            </w:hyperlink>
            <w:r w:rsidR="009F5765">
              <w:rPr>
                <w:rFonts w:cs="新細明體" w:hint="eastAsia"/>
                <w:lang w:eastAsia="zh-HK"/>
              </w:rPr>
              <w:t xml:space="preserve"> (ShareCourse)</w:t>
            </w:r>
            <w:hyperlink r:id="rId48" w:history="1"/>
          </w:p>
        </w:tc>
        <w:tc>
          <w:tcPr>
            <w:tcW w:w="6170" w:type="dxa"/>
            <w:shd w:val="clear" w:color="auto" w:fill="EDEDED" w:themeFill="accent3" w:themeFillTint="33"/>
          </w:tcPr>
          <w:p w:rsidR="009F5765" w:rsidRPr="009F5765" w:rsidRDefault="009F5765" w:rsidP="009F5765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HK"/>
              </w:rPr>
            </w:pPr>
            <w:r w:rsidRPr="009F5765">
              <w:rPr>
                <w:rFonts w:hint="eastAsia"/>
              </w:rPr>
              <w:t>以協助青年人強化職場技能及深入探討數位能力培養、</w:t>
            </w:r>
            <w:r w:rsidRPr="009F5765">
              <w:t>AI 與物</w:t>
            </w:r>
            <w:r w:rsidRPr="009F5765">
              <w:rPr>
                <w:rFonts w:hint="eastAsia"/>
              </w:rPr>
              <w:t>聯網等</w:t>
            </w:r>
            <w:r w:rsidRPr="009F5765">
              <w:rPr>
                <w:rFonts w:hint="eastAsia"/>
                <w:lang w:eastAsia="zh-HK"/>
              </w:rPr>
              <w:t>課程為主</w:t>
            </w:r>
            <w:r w:rsidRPr="009F5765">
              <w:rPr>
                <w:rFonts w:hint="eastAsia"/>
              </w:rPr>
              <w:t>，涵蓋從各領域初階入門到進階進行，合計超過有</w:t>
            </w:r>
            <w:r w:rsidRPr="009F5765">
              <w:t>500門課程。</w:t>
            </w:r>
          </w:p>
        </w:tc>
      </w:tr>
      <w:tr w:rsidR="009F5765" w:rsidTr="00A653A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Align w:val="center"/>
          </w:tcPr>
          <w:p w:rsidR="009F5765" w:rsidRDefault="00261964" w:rsidP="009F5765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49" w:history="1">
              <w:r w:rsidR="009F5765">
                <w:rPr>
                  <w:rStyle w:val="a7"/>
                  <w:rFonts w:cs="新細明體" w:hint="eastAsia"/>
                  <w:lang w:eastAsia="zh-HK"/>
                </w:rPr>
                <w:t>臺灣全民學習平臺</w:t>
              </w:r>
            </w:hyperlink>
            <w:r w:rsidR="009F5765">
              <w:rPr>
                <w:rFonts w:cs="新細明體" w:hint="eastAsia"/>
              </w:rPr>
              <w:t xml:space="preserve"> (</w:t>
            </w:r>
            <w:r w:rsidR="009F5765">
              <w:rPr>
                <w:rFonts w:cs="新細明體" w:hint="eastAsia"/>
                <w:lang w:eastAsia="zh-HK"/>
              </w:rPr>
              <w:t>TaiwanLIFE)</w:t>
            </w:r>
          </w:p>
        </w:tc>
        <w:tc>
          <w:tcPr>
            <w:tcW w:w="6170" w:type="dxa"/>
          </w:tcPr>
          <w:p w:rsidR="009F5765" w:rsidRPr="009F5765" w:rsidRDefault="009F5765" w:rsidP="009F5765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8"/>
                <w:szCs w:val="20"/>
              </w:rPr>
            </w:pPr>
            <w:r w:rsidRPr="009F5765">
              <w:rPr>
                <w:bCs/>
              </w:rPr>
              <w:t>除一般開設的線上課程（367課次）</w:t>
            </w:r>
            <w:r w:rsidRPr="009F5765">
              <w:rPr>
                <w:rFonts w:hint="eastAsia"/>
                <w:bCs/>
              </w:rPr>
              <w:t>，</w:t>
            </w:r>
            <w:r w:rsidRPr="009F5765">
              <w:rPr>
                <w:bCs/>
              </w:rPr>
              <w:t>另有非正規教育認證學分班課程，修習學分班課程通過且成績及格者，得申請學分證明書，依各大專院校規定申請學分抵免，目前已有15課次。</w:t>
            </w:r>
          </w:p>
        </w:tc>
      </w:tr>
      <w:tr w:rsidR="002C6BC8" w:rsidTr="005D3F8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EDEDED" w:themeFill="accent3" w:themeFillTint="33"/>
          </w:tcPr>
          <w:p w:rsidR="002C6BC8" w:rsidRPr="00D16699" w:rsidRDefault="00261964" w:rsidP="002C6BC8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50" w:history="1">
              <w:r w:rsidR="002C6BC8">
                <w:rPr>
                  <w:rStyle w:val="a7"/>
                  <w:rFonts w:cs="新細明體" w:hint="eastAsia"/>
                  <w:lang w:eastAsia="zh-HK"/>
                </w:rPr>
                <w:t>臺灣開放式課程暨教育聯盟</w:t>
              </w:r>
            </w:hyperlink>
            <w:r w:rsidR="002C6BC8">
              <w:rPr>
                <w:rFonts w:cs="新細明體" w:hint="eastAsia"/>
                <w:lang w:eastAsia="zh-HK"/>
              </w:rPr>
              <w:t xml:space="preserve"> (TOCEC)</w:t>
            </w:r>
            <w:r w:rsidR="002C6BC8">
              <w:rPr>
                <w:rFonts w:cs="Times New Roman" w:hint="eastAsia"/>
              </w:rPr>
              <w:t xml:space="preserve"> </w:t>
            </w:r>
          </w:p>
        </w:tc>
        <w:tc>
          <w:tcPr>
            <w:tcW w:w="6170" w:type="dxa"/>
            <w:shd w:val="clear" w:color="auto" w:fill="EDEDED" w:themeFill="accent3" w:themeFillTint="33"/>
          </w:tcPr>
          <w:p w:rsidR="002C6BC8" w:rsidRPr="009F5765" w:rsidRDefault="002C6BC8" w:rsidP="002C6BC8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F5765">
              <w:rPr>
                <w:rFonts w:hint="eastAsia"/>
                <w:bCs/>
                <w:lang w:eastAsia="zh-HK"/>
              </w:rPr>
              <w:t>提供</w:t>
            </w:r>
            <w:r w:rsidRPr="009F5765">
              <w:rPr>
                <w:rFonts w:hint="eastAsia"/>
                <w:lang w:eastAsia="zh-HK"/>
              </w:rPr>
              <w:t>1,398門</w:t>
            </w:r>
            <w:r w:rsidRPr="009F5765">
              <w:rPr>
                <w:rFonts w:hint="eastAsia"/>
              </w:rPr>
              <w:t>隨堂側錄</w:t>
            </w:r>
            <w:r w:rsidRPr="009F5765">
              <w:rPr>
                <w:rFonts w:hint="eastAsia"/>
                <w:lang w:eastAsia="zh-HK"/>
              </w:rPr>
              <w:t>後簡單後製的</w:t>
            </w:r>
            <w:r w:rsidRPr="009F5765">
              <w:rPr>
                <w:rFonts w:hint="eastAsia"/>
              </w:rPr>
              <w:t>課堂教學內容</w:t>
            </w:r>
            <w:r w:rsidRPr="009F5765">
              <w:rPr>
                <w:rFonts w:hint="eastAsia"/>
                <w:lang w:eastAsia="zh-HK"/>
              </w:rPr>
              <w:t>。</w:t>
            </w:r>
          </w:p>
        </w:tc>
      </w:tr>
      <w:tr w:rsidR="002C6BC8" w:rsidTr="002C6BC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FFFFFF" w:themeFill="background1"/>
            <w:vAlign w:val="center"/>
          </w:tcPr>
          <w:p w:rsidR="002C6BC8" w:rsidRDefault="00261964" w:rsidP="002C6BC8">
            <w:pPr>
              <w:widowControl/>
              <w:ind w:left="240" w:hangingChars="100" w:hanging="240"/>
              <w:rPr>
                <w:rFonts w:cs="新細明體"/>
                <w:b w:val="0"/>
                <w:bCs w:val="0"/>
                <w:lang w:eastAsia="zh-HK"/>
              </w:rPr>
            </w:pPr>
            <w:hyperlink r:id="rId51" w:history="1">
              <w:r w:rsidR="002C6BC8" w:rsidRPr="004B4461">
                <w:rPr>
                  <w:rStyle w:val="a7"/>
                  <w:rFonts w:cs="Times New Roman" w:hint="eastAsia"/>
                  <w:color w:val="auto"/>
                  <w:lang w:eastAsia="zh-HK"/>
                </w:rPr>
                <w:t>臺灣通識網</w:t>
              </w:r>
            </w:hyperlink>
            <w:r w:rsidR="002C6BC8" w:rsidRPr="002C6BC8">
              <w:rPr>
                <w:rStyle w:val="a7"/>
                <w:rFonts w:cs="Times New Roman"/>
                <w:color w:val="auto"/>
                <w:lang w:eastAsia="zh-HK"/>
              </w:rPr>
              <w:t>(get)</w:t>
            </w:r>
          </w:p>
        </w:tc>
        <w:tc>
          <w:tcPr>
            <w:tcW w:w="6170" w:type="dxa"/>
            <w:shd w:val="clear" w:color="auto" w:fill="FFFFFF" w:themeFill="background1"/>
          </w:tcPr>
          <w:p w:rsidR="002C6BC8" w:rsidRPr="009F5765" w:rsidRDefault="002C6BC8" w:rsidP="002C6BC8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F5765">
              <w:rPr>
                <w:rFonts w:hint="eastAsia"/>
                <w:bCs/>
                <w:lang w:eastAsia="zh-HK"/>
              </w:rPr>
              <w:t>提供</w:t>
            </w:r>
            <w:r w:rsidRPr="009F5765">
              <w:rPr>
                <w:bCs/>
              </w:rPr>
              <w:t>大學校院通</w:t>
            </w:r>
            <w:r w:rsidRPr="009F5765">
              <w:rPr>
                <w:rFonts w:hint="eastAsia"/>
                <w:bCs/>
              </w:rPr>
              <w:t>識教育課程</w:t>
            </w:r>
            <w:r w:rsidRPr="009F5765">
              <w:rPr>
                <w:rFonts w:hint="eastAsia"/>
                <w:bCs/>
                <w:lang w:eastAsia="zh-HK"/>
              </w:rPr>
              <w:t>194門</w:t>
            </w:r>
            <w:r w:rsidRPr="009F5765">
              <w:rPr>
                <w:rFonts w:hint="eastAsia"/>
                <w:bCs/>
              </w:rPr>
              <w:t>，</w:t>
            </w:r>
            <w:r w:rsidRPr="009F5765">
              <w:rPr>
                <w:rFonts w:hint="eastAsia"/>
                <w:bCs/>
                <w:lang w:eastAsia="zh-HK"/>
              </w:rPr>
              <w:t>包括</w:t>
            </w:r>
            <w:r w:rsidRPr="009F5765">
              <w:rPr>
                <w:rFonts w:cs="新細明體" w:hint="eastAsia"/>
                <w:lang w:eastAsia="zh-HK"/>
              </w:rPr>
              <w:t>課程大綱、講義、影音課程、延伸閱讀、教師簡介等，亦可下載課程教材包使用</w:t>
            </w:r>
            <w:r w:rsidRPr="009F5765">
              <w:rPr>
                <w:rFonts w:hint="eastAsia"/>
                <w:bCs/>
                <w:lang w:eastAsia="zh-HK"/>
              </w:rPr>
              <w:t>。</w:t>
            </w:r>
          </w:p>
        </w:tc>
      </w:tr>
    </w:tbl>
    <w:p w:rsidR="00FF2F94" w:rsidRPr="00571608" w:rsidRDefault="00571608" w:rsidP="00571608">
      <w:pPr>
        <w:keepNext/>
        <w:spacing w:beforeLines="50" w:before="180"/>
        <w:contextualSpacing/>
        <w:outlineLvl w:val="0"/>
        <w:rPr>
          <w:sz w:val="28"/>
        </w:rPr>
      </w:pPr>
      <w:r w:rsidRPr="00571608">
        <w:rPr>
          <w:rFonts w:hint="eastAsia"/>
          <w:sz w:val="28"/>
        </w:rPr>
        <w:t>以上資源持續更新網址</w:t>
      </w:r>
      <w:hyperlink r:id="rId52" w:history="1">
        <w:r w:rsidRPr="00571608">
          <w:rPr>
            <w:rStyle w:val="a7"/>
            <w:sz w:val="28"/>
          </w:rPr>
          <w:t>https://cloud.edu.tw/curation/detail/1166</w:t>
        </w:r>
      </w:hyperlink>
    </w:p>
    <w:sectPr w:rsidR="00FF2F94" w:rsidRPr="00571608" w:rsidSect="00B61013">
      <w:footerReference w:type="default" r:id="rId53"/>
      <w:footerReference w:type="first" r:id="rId54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64" w:rsidRDefault="00261964">
      <w:r>
        <w:separator/>
      </w:r>
    </w:p>
  </w:endnote>
  <w:endnote w:type="continuationSeparator" w:id="0">
    <w:p w:rsidR="00261964" w:rsidRDefault="002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007946"/>
      <w:docPartObj>
        <w:docPartGallery w:val="Page Numbers (Bottom of Page)"/>
        <w:docPartUnique/>
      </w:docPartObj>
    </w:sdtPr>
    <w:sdtEndPr/>
    <w:sdtContent>
      <w:p w:rsidR="00A97505" w:rsidRDefault="00A97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31" w:rsidRPr="00643931">
          <w:rPr>
            <w:noProof/>
            <w:lang w:val="zh-TW"/>
          </w:rPr>
          <w:t>5</w:t>
        </w:r>
        <w:r>
          <w:fldChar w:fldCharType="end"/>
        </w:r>
      </w:p>
    </w:sdtContent>
  </w:sdt>
  <w:p w:rsidR="00FF2F94" w:rsidRDefault="00FF2F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181505"/>
      <w:docPartObj>
        <w:docPartGallery w:val="Page Numbers (Bottom of Page)"/>
        <w:docPartUnique/>
      </w:docPartObj>
    </w:sdtPr>
    <w:sdtEndPr/>
    <w:sdtContent>
      <w:p w:rsidR="00A97505" w:rsidRDefault="00A97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31" w:rsidRPr="00643931">
          <w:rPr>
            <w:noProof/>
            <w:lang w:val="zh-TW"/>
          </w:rPr>
          <w:t>1</w:t>
        </w:r>
        <w:r>
          <w:fldChar w:fldCharType="end"/>
        </w:r>
      </w:p>
    </w:sdtContent>
  </w:sdt>
  <w:p w:rsidR="00A97505" w:rsidRDefault="00A97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64" w:rsidRDefault="00261964">
      <w:r>
        <w:separator/>
      </w:r>
    </w:p>
  </w:footnote>
  <w:footnote w:type="continuationSeparator" w:id="0">
    <w:p w:rsidR="00261964" w:rsidRDefault="0026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E2531"/>
    <w:multiLevelType w:val="multilevel"/>
    <w:tmpl w:val="394E2531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3C7571"/>
    <w:multiLevelType w:val="multilevel"/>
    <w:tmpl w:val="653C7571"/>
    <w:lvl w:ilvl="0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713F5D55"/>
    <w:multiLevelType w:val="multilevel"/>
    <w:tmpl w:val="713F5D55"/>
    <w:lvl w:ilvl="0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68310D"/>
    <w:multiLevelType w:val="multilevel"/>
    <w:tmpl w:val="7768310D"/>
    <w:lvl w:ilvl="0">
      <w:start w:val="1"/>
      <w:numFmt w:val="taiwaneseCountingThousand"/>
      <w:pStyle w:val="1"/>
      <w:lvlText w:val="第%1章、"/>
      <w:lvlJc w:val="left"/>
      <w:pPr>
        <w:ind w:left="1800" w:hanging="13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D"/>
    <w:rsid w:val="00003CF7"/>
    <w:rsid w:val="000071E9"/>
    <w:rsid w:val="000101E0"/>
    <w:rsid w:val="00015A4D"/>
    <w:rsid w:val="00043168"/>
    <w:rsid w:val="00090BC0"/>
    <w:rsid w:val="000C0371"/>
    <w:rsid w:val="000D282F"/>
    <w:rsid w:val="000E2E0F"/>
    <w:rsid w:val="000F2181"/>
    <w:rsid w:val="000F6FC0"/>
    <w:rsid w:val="00127CA3"/>
    <w:rsid w:val="001331BB"/>
    <w:rsid w:val="00134144"/>
    <w:rsid w:val="00147490"/>
    <w:rsid w:val="00170142"/>
    <w:rsid w:val="00176942"/>
    <w:rsid w:val="001A731E"/>
    <w:rsid w:val="001A7A35"/>
    <w:rsid w:val="001B3F6D"/>
    <w:rsid w:val="001D0299"/>
    <w:rsid w:val="001D67B2"/>
    <w:rsid w:val="001E5DEF"/>
    <w:rsid w:val="002205F1"/>
    <w:rsid w:val="00245D93"/>
    <w:rsid w:val="00261964"/>
    <w:rsid w:val="00262D91"/>
    <w:rsid w:val="002A4A70"/>
    <w:rsid w:val="002B21AD"/>
    <w:rsid w:val="002B4505"/>
    <w:rsid w:val="002C6BC8"/>
    <w:rsid w:val="002C721E"/>
    <w:rsid w:val="002D2B5E"/>
    <w:rsid w:val="002F264E"/>
    <w:rsid w:val="00303714"/>
    <w:rsid w:val="00314218"/>
    <w:rsid w:val="00345C20"/>
    <w:rsid w:val="00355929"/>
    <w:rsid w:val="00364DBC"/>
    <w:rsid w:val="003678B4"/>
    <w:rsid w:val="003A0B26"/>
    <w:rsid w:val="003A42C9"/>
    <w:rsid w:val="003B36B8"/>
    <w:rsid w:val="003F0D87"/>
    <w:rsid w:val="004008C3"/>
    <w:rsid w:val="004076AB"/>
    <w:rsid w:val="0041625F"/>
    <w:rsid w:val="00434CA9"/>
    <w:rsid w:val="00450C59"/>
    <w:rsid w:val="004610FF"/>
    <w:rsid w:val="00470C78"/>
    <w:rsid w:val="00471269"/>
    <w:rsid w:val="00492388"/>
    <w:rsid w:val="004A58B9"/>
    <w:rsid w:val="004B4461"/>
    <w:rsid w:val="004C7DA5"/>
    <w:rsid w:val="004D28F7"/>
    <w:rsid w:val="004E1558"/>
    <w:rsid w:val="004E41EF"/>
    <w:rsid w:val="004F4FD7"/>
    <w:rsid w:val="00501B2F"/>
    <w:rsid w:val="00502FA7"/>
    <w:rsid w:val="00524BFC"/>
    <w:rsid w:val="00563F94"/>
    <w:rsid w:val="00571608"/>
    <w:rsid w:val="0057448A"/>
    <w:rsid w:val="00586688"/>
    <w:rsid w:val="005D2635"/>
    <w:rsid w:val="005D5D2F"/>
    <w:rsid w:val="005F285B"/>
    <w:rsid w:val="006046B5"/>
    <w:rsid w:val="00641D49"/>
    <w:rsid w:val="00643931"/>
    <w:rsid w:val="006658B6"/>
    <w:rsid w:val="006910FF"/>
    <w:rsid w:val="006C2283"/>
    <w:rsid w:val="00726577"/>
    <w:rsid w:val="00756014"/>
    <w:rsid w:val="00766C15"/>
    <w:rsid w:val="00787670"/>
    <w:rsid w:val="007A53F5"/>
    <w:rsid w:val="007B0A10"/>
    <w:rsid w:val="007B43C3"/>
    <w:rsid w:val="007C01B4"/>
    <w:rsid w:val="007D42F8"/>
    <w:rsid w:val="007E0E31"/>
    <w:rsid w:val="0080415F"/>
    <w:rsid w:val="00867194"/>
    <w:rsid w:val="00872AB5"/>
    <w:rsid w:val="008748E9"/>
    <w:rsid w:val="008A1763"/>
    <w:rsid w:val="008A47D7"/>
    <w:rsid w:val="008C3A67"/>
    <w:rsid w:val="008E3375"/>
    <w:rsid w:val="008E4918"/>
    <w:rsid w:val="008F376F"/>
    <w:rsid w:val="00905619"/>
    <w:rsid w:val="00931D9B"/>
    <w:rsid w:val="00936C33"/>
    <w:rsid w:val="009576EE"/>
    <w:rsid w:val="00984DAB"/>
    <w:rsid w:val="009F414B"/>
    <w:rsid w:val="009F5765"/>
    <w:rsid w:val="00A069D7"/>
    <w:rsid w:val="00A260D6"/>
    <w:rsid w:val="00A443A2"/>
    <w:rsid w:val="00A479D3"/>
    <w:rsid w:val="00A6468F"/>
    <w:rsid w:val="00A653A5"/>
    <w:rsid w:val="00A7561A"/>
    <w:rsid w:val="00A90D1D"/>
    <w:rsid w:val="00A97505"/>
    <w:rsid w:val="00AA4808"/>
    <w:rsid w:val="00AD16D7"/>
    <w:rsid w:val="00AE6D76"/>
    <w:rsid w:val="00B06E04"/>
    <w:rsid w:val="00B301B7"/>
    <w:rsid w:val="00B43DAF"/>
    <w:rsid w:val="00B61013"/>
    <w:rsid w:val="00B7374E"/>
    <w:rsid w:val="00B806FC"/>
    <w:rsid w:val="00BC0EA5"/>
    <w:rsid w:val="00C04425"/>
    <w:rsid w:val="00C2445E"/>
    <w:rsid w:val="00C25275"/>
    <w:rsid w:val="00C539EC"/>
    <w:rsid w:val="00C94123"/>
    <w:rsid w:val="00C965C0"/>
    <w:rsid w:val="00C97D00"/>
    <w:rsid w:val="00CA5050"/>
    <w:rsid w:val="00CB0E9E"/>
    <w:rsid w:val="00CB67A1"/>
    <w:rsid w:val="00CC02EB"/>
    <w:rsid w:val="00CF5901"/>
    <w:rsid w:val="00D13481"/>
    <w:rsid w:val="00D61EAF"/>
    <w:rsid w:val="00D62F91"/>
    <w:rsid w:val="00D66E52"/>
    <w:rsid w:val="00D677C2"/>
    <w:rsid w:val="00D87990"/>
    <w:rsid w:val="00DE0B2F"/>
    <w:rsid w:val="00DF166C"/>
    <w:rsid w:val="00E35E3E"/>
    <w:rsid w:val="00E4017E"/>
    <w:rsid w:val="00E44523"/>
    <w:rsid w:val="00E744E5"/>
    <w:rsid w:val="00E7470E"/>
    <w:rsid w:val="00E8529D"/>
    <w:rsid w:val="00EA464D"/>
    <w:rsid w:val="00EC7A05"/>
    <w:rsid w:val="00ED6D5F"/>
    <w:rsid w:val="00ED77C0"/>
    <w:rsid w:val="00F2003E"/>
    <w:rsid w:val="00F20536"/>
    <w:rsid w:val="00F34660"/>
    <w:rsid w:val="00F531C0"/>
    <w:rsid w:val="00F63F4B"/>
    <w:rsid w:val="00F64585"/>
    <w:rsid w:val="00F81163"/>
    <w:rsid w:val="00F83BB0"/>
    <w:rsid w:val="00F941AC"/>
    <w:rsid w:val="00F94F0A"/>
    <w:rsid w:val="00FB13B5"/>
    <w:rsid w:val="00FF2F94"/>
    <w:rsid w:val="01713AE5"/>
    <w:rsid w:val="01B83A8E"/>
    <w:rsid w:val="02AF4534"/>
    <w:rsid w:val="0316641B"/>
    <w:rsid w:val="03E85E11"/>
    <w:rsid w:val="048B35EA"/>
    <w:rsid w:val="05FB2855"/>
    <w:rsid w:val="07991B7D"/>
    <w:rsid w:val="097052A5"/>
    <w:rsid w:val="0BAA1B2D"/>
    <w:rsid w:val="0BC3554F"/>
    <w:rsid w:val="10266E7E"/>
    <w:rsid w:val="12786A8B"/>
    <w:rsid w:val="14B55B96"/>
    <w:rsid w:val="167F4530"/>
    <w:rsid w:val="175820D2"/>
    <w:rsid w:val="17965CC9"/>
    <w:rsid w:val="1805124D"/>
    <w:rsid w:val="195D34A8"/>
    <w:rsid w:val="1A59154D"/>
    <w:rsid w:val="1B3E6347"/>
    <w:rsid w:val="1BCE4E34"/>
    <w:rsid w:val="1C011104"/>
    <w:rsid w:val="1CEB43EB"/>
    <w:rsid w:val="23012E2E"/>
    <w:rsid w:val="23677C1E"/>
    <w:rsid w:val="241A478C"/>
    <w:rsid w:val="2667312A"/>
    <w:rsid w:val="2707131B"/>
    <w:rsid w:val="273B4EED"/>
    <w:rsid w:val="2A454338"/>
    <w:rsid w:val="2B2B41D7"/>
    <w:rsid w:val="2CA47882"/>
    <w:rsid w:val="2D235C82"/>
    <w:rsid w:val="331C6073"/>
    <w:rsid w:val="33B53C56"/>
    <w:rsid w:val="35AA3AE0"/>
    <w:rsid w:val="35B53620"/>
    <w:rsid w:val="36842FCA"/>
    <w:rsid w:val="37EE495D"/>
    <w:rsid w:val="394A194B"/>
    <w:rsid w:val="3A754081"/>
    <w:rsid w:val="3D49618B"/>
    <w:rsid w:val="3ED72CBC"/>
    <w:rsid w:val="400D0A10"/>
    <w:rsid w:val="421D051C"/>
    <w:rsid w:val="422B609F"/>
    <w:rsid w:val="42ED791B"/>
    <w:rsid w:val="43F47B58"/>
    <w:rsid w:val="45AA20CC"/>
    <w:rsid w:val="4C461909"/>
    <w:rsid w:val="4CCA7350"/>
    <w:rsid w:val="4CE65F1A"/>
    <w:rsid w:val="4DB20406"/>
    <w:rsid w:val="4DB32C02"/>
    <w:rsid w:val="4EEE3B81"/>
    <w:rsid w:val="50FB248A"/>
    <w:rsid w:val="51623FF1"/>
    <w:rsid w:val="52005548"/>
    <w:rsid w:val="53740AB3"/>
    <w:rsid w:val="55D53243"/>
    <w:rsid w:val="55E016B2"/>
    <w:rsid w:val="564F60EA"/>
    <w:rsid w:val="586848FB"/>
    <w:rsid w:val="58EE251F"/>
    <w:rsid w:val="594B068D"/>
    <w:rsid w:val="5AAE02D4"/>
    <w:rsid w:val="5E10588E"/>
    <w:rsid w:val="5E5D7064"/>
    <w:rsid w:val="5F38135B"/>
    <w:rsid w:val="5FE25B0A"/>
    <w:rsid w:val="600A7BDE"/>
    <w:rsid w:val="60E72FA8"/>
    <w:rsid w:val="61F7754C"/>
    <w:rsid w:val="621B2315"/>
    <w:rsid w:val="62B91283"/>
    <w:rsid w:val="64964D52"/>
    <w:rsid w:val="65DF2133"/>
    <w:rsid w:val="6CF55D36"/>
    <w:rsid w:val="6D18499A"/>
    <w:rsid w:val="6E335A3A"/>
    <w:rsid w:val="6FAA397B"/>
    <w:rsid w:val="718F360E"/>
    <w:rsid w:val="71F133DF"/>
    <w:rsid w:val="735955C4"/>
    <w:rsid w:val="757A2148"/>
    <w:rsid w:val="75CB3F7F"/>
    <w:rsid w:val="76243E2C"/>
    <w:rsid w:val="779F544F"/>
    <w:rsid w:val="78724A30"/>
    <w:rsid w:val="79146455"/>
    <w:rsid w:val="796F182B"/>
    <w:rsid w:val="7A005E46"/>
    <w:rsid w:val="7A8172D4"/>
    <w:rsid w:val="7AAC2C71"/>
    <w:rsid w:val="7CCD6886"/>
    <w:rsid w:val="7DBE049E"/>
    <w:rsid w:val="7EBF3FB1"/>
    <w:rsid w:val="7FD1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2A227-6A1C-4D5D-A7B0-7058A959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MS Minch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1418"/>
      </w:tabs>
      <w:overflowPunct w:val="0"/>
      <w:ind w:left="0" w:firstLine="0"/>
      <w:jc w:val="both"/>
      <w:outlineLvl w:val="0"/>
    </w:pPr>
    <w:rPr>
      <w:rFonts w:ascii="Times New Roman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iPriority w:val="99"/>
    <w:unhideWhenUsed/>
    <w:qFormat/>
    <w:pPr>
      <w:spacing w:beforeAutospacing="1" w:afterAutospacing="1"/>
    </w:pPr>
    <w:rPr>
      <w:lang w:eastAsia="zh-CN"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uiPriority w:val="99"/>
    <w:unhideWhenUsed/>
    <w:qFormat/>
    <w:rPr>
      <w:color w:val="800080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link w:val="ab"/>
    <w:uiPriority w:val="34"/>
    <w:qFormat/>
    <w:pPr>
      <w:ind w:leftChars="200" w:left="480"/>
    </w:pPr>
  </w:style>
  <w:style w:type="character" w:customStyle="1" w:styleId="ab">
    <w:name w:val="清單段落 字元"/>
    <w:link w:val="11"/>
    <w:uiPriority w:val="34"/>
    <w:qFormat/>
    <w:locked/>
  </w:style>
  <w:style w:type="table" w:customStyle="1" w:styleId="2-31">
    <w:name w:val="格線表格 2 - 輔色 31"/>
    <w:basedOn w:val="a1"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0">
    <w:name w:val="標題 1 字元"/>
    <w:basedOn w:val="a0"/>
    <w:link w:val="1"/>
    <w:uiPriority w:val="9"/>
    <w:qFormat/>
    <w:rPr>
      <w:rFonts w:ascii="Times New Roman" w:hAnsi="Times New Roman" w:cstheme="majorBidi"/>
      <w:b/>
      <w:bCs/>
      <w:kern w:val="52"/>
      <w:sz w:val="32"/>
      <w:szCs w:val="52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E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無"/>
    <w:rsid w:val="00492388"/>
  </w:style>
  <w:style w:type="character" w:customStyle="1" w:styleId="Hyperlink0">
    <w:name w:val="Hyperlink.0"/>
    <w:basedOn w:val="ae"/>
    <w:rsid w:val="00492388"/>
    <w:rPr>
      <w:rFonts w:ascii="標楷體" w:eastAsia="標楷體" w:hAnsi="標楷體" w:cs="標楷體"/>
      <w:outline w:val="0"/>
      <w:color w:val="000000"/>
      <w:kern w:val="0"/>
      <w:sz w:val="28"/>
      <w:szCs w:val="28"/>
      <w:u w:color="000000"/>
      <w:lang w:val="zh-TW" w:eastAsia="zh-TW"/>
    </w:rPr>
  </w:style>
  <w:style w:type="paragraph" w:styleId="af">
    <w:name w:val="Plain Text"/>
    <w:basedOn w:val="a"/>
    <w:link w:val="af0"/>
    <w:uiPriority w:val="99"/>
    <w:unhideWhenUsed/>
    <w:rsid w:val="001A731E"/>
    <w:rPr>
      <w:rFonts w:ascii="Calibri" w:eastAsia="新細明體" w:hAnsi="Courier New" w:cs="Courier New"/>
      <w:kern w:val="2"/>
      <w:szCs w:val="22"/>
    </w:rPr>
  </w:style>
  <w:style w:type="character" w:customStyle="1" w:styleId="af0">
    <w:name w:val="純文字 字元"/>
    <w:basedOn w:val="a0"/>
    <w:link w:val="af"/>
    <w:uiPriority w:val="99"/>
    <w:rsid w:val="001A731E"/>
    <w:rPr>
      <w:rFonts w:ascii="Calibri" w:eastAsia="新細明體" w:hAnsi="Courier New" w:cs="Courier New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edu.tw/list.jsp?category=8" TargetMode="External"/><Relationship Id="rId18" Type="http://schemas.openxmlformats.org/officeDocument/2006/relationships/hyperlink" Target="http://drlive.kh.edu.tw/live/" TargetMode="External"/><Relationship Id="rId26" Type="http://schemas.openxmlformats.org/officeDocument/2006/relationships/hyperlink" Target="https://pedia.cloud.edu.tw/" TargetMode="External"/><Relationship Id="rId39" Type="http://schemas.openxmlformats.org/officeDocument/2006/relationships/hyperlink" Target="https://www.openedu.tw/for-highschool.jsp" TargetMode="External"/><Relationship Id="rId21" Type="http://schemas.openxmlformats.org/officeDocument/2006/relationships/hyperlink" Target="https://adl.edu.tw/" TargetMode="External"/><Relationship Id="rId34" Type="http://schemas.openxmlformats.org/officeDocument/2006/relationships/hyperlink" Target="https://www.pagamo.org/" TargetMode="External"/><Relationship Id="rId42" Type="http://schemas.openxmlformats.org/officeDocument/2006/relationships/hyperlink" Target="http://get.aca.ntu.edu.tw/getcdb/" TargetMode="External"/><Relationship Id="rId47" Type="http://schemas.openxmlformats.org/officeDocument/2006/relationships/hyperlink" Target="https://www.sharecourse.net" TargetMode="External"/><Relationship Id="rId50" Type="http://schemas.openxmlformats.org/officeDocument/2006/relationships/hyperlink" Target="http://www.tocec.org.tw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penedu.tw/list.jsp?category=7" TargetMode="External"/><Relationship Id="rId17" Type="http://schemas.openxmlformats.org/officeDocument/2006/relationships/hyperlink" Target="https://cooc.tp.edu.tw/" TargetMode="External"/><Relationship Id="rId25" Type="http://schemas.openxmlformats.org/officeDocument/2006/relationships/hyperlink" Target="https://market.cloud.edu.tw" TargetMode="External"/><Relationship Id="rId33" Type="http://schemas.openxmlformats.org/officeDocument/2006/relationships/hyperlink" Target="https://www.coolenglish.edu.tw/" TargetMode="External"/><Relationship Id="rId38" Type="http://schemas.openxmlformats.org/officeDocument/2006/relationships/hyperlink" Target="http://www.ewant.org/" TargetMode="External"/><Relationship Id="rId46" Type="http://schemas.openxmlformats.org/officeDocument/2006/relationships/hyperlink" Target="https://www.open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ip.tanet.edu.tw/" TargetMode="External"/><Relationship Id="rId20" Type="http://schemas.openxmlformats.org/officeDocument/2006/relationships/hyperlink" Target="https://adl.edu.tw" TargetMode="External"/><Relationship Id="rId29" Type="http://schemas.openxmlformats.org/officeDocument/2006/relationships/hyperlink" Target="https://www.learnmode.net/" TargetMode="External"/><Relationship Id="rId41" Type="http://schemas.openxmlformats.org/officeDocument/2006/relationships/hyperlink" Target="http://www.tocec.org.tw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edu.tw/list.jsp?category=5" TargetMode="External"/><Relationship Id="rId24" Type="http://schemas.openxmlformats.org/officeDocument/2006/relationships/hyperlink" Target="https://video.cloud.edu.tw" TargetMode="External"/><Relationship Id="rId32" Type="http://schemas.openxmlformats.org/officeDocument/2006/relationships/hyperlink" Target="https://www.egame.kh.edu.tw/login" TargetMode="External"/><Relationship Id="rId37" Type="http://schemas.openxmlformats.org/officeDocument/2006/relationships/hyperlink" Target="https://high.deltamoocx.net/" TargetMode="External"/><Relationship Id="rId40" Type="http://schemas.openxmlformats.org/officeDocument/2006/relationships/hyperlink" Target="http://taiwanlife.org/" TargetMode="External"/><Relationship Id="rId45" Type="http://schemas.openxmlformats.org/officeDocument/2006/relationships/hyperlink" Target="https://www.openedu.tw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openedu.tw/list.jsp?category=10" TargetMode="External"/><Relationship Id="rId23" Type="http://schemas.openxmlformats.org/officeDocument/2006/relationships/hyperlink" Target="https://learning.cloud.edu.tw/" TargetMode="External"/><Relationship Id="rId28" Type="http://schemas.openxmlformats.org/officeDocument/2006/relationships/hyperlink" Target="http://hahay.tn.edu.tw" TargetMode="External"/><Relationship Id="rId36" Type="http://schemas.openxmlformats.org/officeDocument/2006/relationships/hyperlink" Target="https://cirn.moe.edu.tw/Guildline/index.aspx?sid=11" TargetMode="External"/><Relationship Id="rId49" Type="http://schemas.openxmlformats.org/officeDocument/2006/relationships/hyperlink" Target="http://taiwanlife.org/" TargetMode="External"/><Relationship Id="rId10" Type="http://schemas.openxmlformats.org/officeDocument/2006/relationships/hyperlink" Target="https://www.openedu.tw/list.jsp?category=4" TargetMode="External"/><Relationship Id="rId19" Type="http://schemas.openxmlformats.org/officeDocument/2006/relationships/hyperlink" Target="https://cloud.edu.tw/" TargetMode="External"/><Relationship Id="rId31" Type="http://schemas.openxmlformats.org/officeDocument/2006/relationships/hyperlink" Target="https://www.junyiacademy.org/" TargetMode="External"/><Relationship Id="rId44" Type="http://schemas.openxmlformats.org/officeDocument/2006/relationships/hyperlink" Target="http://www.ewant.org/" TargetMode="External"/><Relationship Id="rId52" Type="http://schemas.openxmlformats.org/officeDocument/2006/relationships/hyperlink" Target="https://cloud.edu.tw/curation/detail/1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edu.tw/list.jsp?category=3" TargetMode="External"/><Relationship Id="rId14" Type="http://schemas.openxmlformats.org/officeDocument/2006/relationships/hyperlink" Target="https://www.openedu.tw/list.jsp?category=9" TargetMode="External"/><Relationship Id="rId22" Type="http://schemas.openxmlformats.org/officeDocument/2006/relationships/hyperlink" Target="https://learning.cloud.edu.tw/" TargetMode="External"/><Relationship Id="rId27" Type="http://schemas.openxmlformats.org/officeDocument/2006/relationships/hyperlink" Target="https://cooc.tp.edu.tw/" TargetMode="External"/><Relationship Id="rId30" Type="http://schemas.openxmlformats.org/officeDocument/2006/relationships/hyperlink" Target="https://www.junyiacademy.org/" TargetMode="External"/><Relationship Id="rId35" Type="http://schemas.openxmlformats.org/officeDocument/2006/relationships/hyperlink" Target="https://cirn.moe.edu.tw/Guildline/index.aspx?sid=11" TargetMode="External"/><Relationship Id="rId43" Type="http://schemas.openxmlformats.org/officeDocument/2006/relationships/hyperlink" Target="http://taiwanmooc.org/home" TargetMode="External"/><Relationship Id="rId48" Type="http://schemas.openxmlformats.org/officeDocument/2006/relationships/hyperlink" Target="https://www.sharecourse.ne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openedu.tw/list.jsp?category=2" TargetMode="External"/><Relationship Id="rId51" Type="http://schemas.openxmlformats.org/officeDocument/2006/relationships/hyperlink" Target="http://get.aca.ntu.edu.tw/getcdb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教育部資科司_葉晉華</dc:creator>
  <cp:lastModifiedBy>User</cp:lastModifiedBy>
  <cp:revision>2</cp:revision>
  <cp:lastPrinted>2020-02-05T01:11:00Z</cp:lastPrinted>
  <dcterms:created xsi:type="dcterms:W3CDTF">2020-02-10T02:25:00Z</dcterms:created>
  <dcterms:modified xsi:type="dcterms:W3CDTF">2020-02-10T02:25:00Z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